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</w:t>
      </w:r>
    </w:p>
    <w:p>
      <w:pPr>
        <w:pStyle w:val="Normal"/>
        <w:rPr/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CZĘŚĆ 1 -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Dostawa kaset testowych  do stacjonarnego analizatora DRAGER DrugTest 5000     w ilości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5 op.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Kasety testowe muszą współgrać z systemem pomiarowym, który składa się z analizatora DRAGER DrugTest 5000 oraz kastet testowych.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Kasety testowe muszą wykrywać 6 grup narkotyków: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-amfetaminy,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pochodnych amfetaminy (MDMA),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kokainy,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opiatów,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benzodiazepin,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kannabinoli.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3. Kasety testowe powinny charakteryzować się: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łatwością obsługi,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krótkim czasem poboru próbki śliny,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posiadać kontrolę wskazującą odpowiednią ilość próbki śliny,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brak możliwości sfałszowania wyniku analizy.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4. Kasety testowe muszą być opakowane pojedynczo i posiadać widoczne i czytelne oznaczenia na opakowaniu: nazwę urządzenia, datę ważności, numer serii oraz nazwę producenta.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5. Opakowanie kasety testowej winno zabezpieczać przed zniszczeniem kasety lub dostaniem się substancji, które mogły by zafałszować wynik badania.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6. Do każdej kasety testowej musi być dołączona jedna para jednorazowych rękawiczek medycznych (gumowych lub lateksowych).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7. Okres ważności minimum – 12 miesięcy.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Cena brutto za sztukę …................… wartość brutto………….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ab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3605530" cy="54229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Pogrubienie1"/>
          <w:rFonts w:cs="Cambria" w:ascii="Times New Roman" w:hAnsi="Times New Roman"/>
          <w:b/>
          <w:bCs/>
          <w:i/>
          <w:color w:val="555555"/>
          <w:sz w:val="14"/>
          <w:szCs w:val="14"/>
          <w:highlight w:val="white"/>
        </w:rPr>
        <w:t xml:space="preserve">Projekt pn. „Poprawa bezpieczeństwa ruchu drogowym na transgranicznych szlakach komunikacyjnych Pomorza Zachodniego i Meklemburgii Pomorza Przedniego. </w:t>
      </w:r>
      <w:r>
        <w:rPr>
          <w:rStyle w:val="Pogrubienie1"/>
          <w:rFonts w:cs="Cambria" w:ascii="Times New Roman" w:hAnsi="Times New Roman"/>
          <w:bCs/>
          <w:color w:val="555555"/>
          <w:sz w:val="14"/>
          <w:szCs w:val="14"/>
          <w:highlight w:val="white"/>
        </w:rPr>
        <w:t xml:space="preserve"> Umowa o dofinansowanie projektu nr INT 45 z 06.12.2017/13.12.2017 </w:t>
      </w:r>
      <w:r>
        <w:rPr>
          <w:rStyle w:val="Pogrubienie1"/>
          <w:rFonts w:cs="Cambria" w:ascii="Times New Roman" w:hAnsi="Times New Roman"/>
          <w:color w:val="555555"/>
          <w:sz w:val="14"/>
          <w:szCs w:val="14"/>
          <w:highlight w:val="white"/>
        </w:rPr>
        <w:t xml:space="preserve">”. </w:t>
      </w:r>
      <w:r>
        <w:rPr>
          <w:rStyle w:val="Strong"/>
          <w:rFonts w:cs="Arial" w:ascii="Times New Roman" w:hAnsi="Times New Roman"/>
          <w:color w:val="555555"/>
          <w:sz w:val="14"/>
          <w:szCs w:val="14"/>
          <w:highlight w:val="white"/>
        </w:rPr>
        <w:t>Projekt realizowany w ramach Programu Współpracy INTERREG VA  Meklemburgia</w:t>
      </w:r>
      <w:bookmarkStart w:id="1" w:name="_GoBack2"/>
      <w:bookmarkEnd w:id="1"/>
      <w:r>
        <w:rPr>
          <w:rStyle w:val="Strong"/>
          <w:rFonts w:cs="Arial" w:ascii="Times New Roman" w:hAnsi="Times New Roman"/>
          <w:color w:val="555555"/>
          <w:sz w:val="14"/>
          <w:szCs w:val="14"/>
          <w:highlight w:val="white"/>
        </w:rPr>
        <w:t>- Pomorze Przednie/Brandenburgia/Polska w ramach celu Europejska Współpraca Terytorialna dofinansowany przez Unię Europejską ze środków Europejskiego Funduszu Rozwoju Regionalnego (EFRR).</w:t>
      </w:r>
    </w:p>
    <w:p>
      <w:pPr>
        <w:pStyle w:val="Stopk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CZĘŚĆ 2  Dostawa jednorazowych testerów do wstępnego wykrywania w ślinie środków działających podobnie do alkoholu (narkotesty) w ilości  150 szt.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Tester powinien być w stanie wykryć co najmniej 4 grupy związków tj.: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tetrahydrokannabinole (THC),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amfetamina,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kokaina,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benzodiazepiny.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Test powinien charakteryzować się: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łatwością obsługi,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wysoką czułością,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pozwalać wykonywać badanie w warunkach kontroli drogowej (wykonania badania w warunkach nielaboratoryjnych),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posiadać kontrolę wskazującą odpowiednią ilość próbki śliny,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brak możliwości sfałszowania wyniku.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Czas uzyskania wyniku badania od momentu pobrania próbki śliny nie może być dłuższy niż 10 minut.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Wynik widoczny na urządzeniu nie może ulegać zmianie w ciągu minimum 10 minut od momentu uzyskania wyniku.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5.Testery muszą być opakowane pojedynczo i posiadać widoczne i czytelne oznaczenia                                             na opakowaniu: nazwę urządzenia , datę ważności, numer serii oraz nazwę producenta.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Opakowanie urządzenia winno zabezpieczać przez zniszczeniem testu lub dostaniem się substancji, które mogły by zafałszować wynik badania.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Do każdego urządzenia musi być dołączona instrukcja obsługi w języku polskim oraz jedna para jednorazowych rękawiczek medycznych (gumowych lub lateksowych).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Wskazany przez urządzenie wynik badania musi jednoznacznie określać grupę związków wykrytą w ślinie.</w:t>
      </w:r>
    </w:p>
    <w:p>
      <w:pPr>
        <w:pStyle w:val="Normal"/>
        <w:widowControl/>
        <w:bidi w:val="0"/>
        <w:spacing w:lineRule="auto" w:line="240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 Okres ważności minimum – 12 miesięcy.</w:t>
      </w:r>
    </w:p>
    <w:p>
      <w:pPr>
        <w:pStyle w:val="Normal"/>
        <w:widowControl/>
        <w:bidi w:val="0"/>
        <w:spacing w:lineRule="auto" w:line="240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Cena brutto za sztukę …................… wartość brutto………….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ab/>
        <w:t>……………...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........................................…</w:t>
        <w:tab/>
        <w:tab/>
        <w:tab/>
        <w:tab/>
        <w:tab/>
        <w:t>…………………………………………..</w:t>
      </w:r>
    </w:p>
    <w:p>
      <w:pPr>
        <w:pStyle w:val="Style91"/>
        <w:widowControl/>
        <w:bidi w:val="0"/>
        <w:spacing w:lineRule="auto" w:line="240" w:before="0" w:after="160"/>
        <w:ind w:left="-274" w:right="0" w:hanging="0"/>
        <w:jc w:val="left"/>
        <w:rPr>
          <w:rFonts w:ascii="Times New Roman" w:hAnsi="Times New Roman"/>
        </w:rPr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 xml:space="preserve">(miejscowość , data) </w:t>
        <w:tab/>
        <w:tab/>
        <w:tab/>
        <w:tab/>
        <w:tab/>
        <w:tab/>
        <w:tab/>
        <w:t>(podpis oferenta)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05530" cy="54229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/>
      </w:pPr>
      <w:r>
        <w:rPr>
          <w:rStyle w:val="Pogrubienie1"/>
          <w:rFonts w:cs="Cambria" w:ascii="Times New Roman" w:hAnsi="Times New Roman"/>
          <w:b/>
          <w:bCs/>
          <w:i/>
          <w:color w:val="555555"/>
          <w:sz w:val="14"/>
          <w:szCs w:val="14"/>
          <w:highlight w:val="white"/>
        </w:rPr>
        <w:t xml:space="preserve">Projekt pn. „Poprawa bezpieczeństwa ruchu drogowym na transgranicznych szlakach komunikacyjnych Pomorza Zachodniego i Meklemburgii Pomorza Przedniego. </w:t>
      </w:r>
      <w:r>
        <w:rPr>
          <w:rStyle w:val="Pogrubienie1"/>
          <w:rFonts w:cs="Cambria" w:ascii="Times New Roman" w:hAnsi="Times New Roman"/>
          <w:bCs/>
          <w:color w:val="555555"/>
          <w:sz w:val="14"/>
          <w:szCs w:val="14"/>
          <w:highlight w:val="white"/>
        </w:rPr>
        <w:t xml:space="preserve"> Umowa o dofinansowanie projektu nr INT 45 z 06.12.2017/13.12.2017 </w:t>
      </w:r>
      <w:r>
        <w:rPr>
          <w:rStyle w:val="Pogrubienie1"/>
          <w:rFonts w:cs="Cambria" w:ascii="Times New Roman" w:hAnsi="Times New Roman"/>
          <w:color w:val="555555"/>
          <w:sz w:val="14"/>
          <w:szCs w:val="14"/>
          <w:highlight w:val="white"/>
        </w:rPr>
        <w:t xml:space="preserve">”. </w:t>
      </w:r>
      <w:r>
        <w:rPr>
          <w:rStyle w:val="Strong"/>
          <w:rFonts w:cs="Arial" w:ascii="Times New Roman" w:hAnsi="Times New Roman"/>
          <w:color w:val="555555"/>
          <w:sz w:val="14"/>
          <w:szCs w:val="14"/>
          <w:highlight w:val="white"/>
        </w:rPr>
        <w:t>Projekt realizowany w ramach Programu Współpracy INTERREG VA  Meklemburgia</w:t>
      </w:r>
      <w:bookmarkStart w:id="2" w:name="_GoBack1"/>
      <w:bookmarkEnd w:id="2"/>
      <w:r>
        <w:rPr>
          <w:rStyle w:val="Strong"/>
          <w:rFonts w:cs="Arial" w:ascii="Times New Roman" w:hAnsi="Times New Roman"/>
          <w:color w:val="555555"/>
          <w:sz w:val="14"/>
          <w:szCs w:val="14"/>
          <w:highlight w:val="white"/>
        </w:rPr>
        <w:t>- Pomorze Przednie/Brandenburgia/Polska w ramach celu Europejska Współpraca Terytorialna dofinansowany przez Unię Europejską ze środków Europejskiego Funduszu Rozwoju Regionalnego (EFRR).</w:t>
      </w:r>
    </w:p>
    <w:p>
      <w:pPr>
        <w:pStyle w:val="Stopka"/>
        <w:widowControl/>
        <w:bidi w:val="0"/>
        <w:spacing w:lineRule="auto" w:line="259"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d2e"/>
    <w:rPr>
      <w:rFonts w:ascii="Segoe UI" w:hAnsi="Segoe UI" w:cs="Segoe UI"/>
      <w:sz w:val="18"/>
      <w:szCs w:val="18"/>
    </w:rPr>
  </w:style>
  <w:style w:type="character" w:styleId="Pogrubienie1">
    <w:name w:val="Pogrubienie1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301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d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91">
    <w:name w:val="Style9"/>
    <w:basedOn w:val="Normal"/>
    <w:qFormat/>
    <w:pPr>
      <w:widowControl w:val="false"/>
      <w:suppressAutoHyphens w:val="false"/>
      <w:spacing w:lineRule="exact" w:line="264"/>
      <w:ind w:left="0" w:right="0"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LibreOffice/6.2.4.2$Windows_X86_64 LibreOffice_project/2412653d852ce75f65fbfa83fb7e7b669a126d64</Application>
  <Pages>2</Pages>
  <Words>479</Words>
  <Characters>3218</Characters>
  <CharactersWithSpaces>3722</CharactersWithSpaces>
  <Paragraphs>46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2020-10-16T12:23:00Z</dcterms:created>
  <dc:creator>Mateusz Mićko</dc:creator>
  <dc:description/>
  <dc:language>pl-PL</dc:language>
  <cp:lastModifiedBy/>
  <cp:lastPrinted>2020-10-26T07:52:18Z</cp:lastPrinted>
  <dcterms:modified xsi:type="dcterms:W3CDTF">2020-10-26T07:52:51Z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