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  <w:tab/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</w:rPr>
        <w:t>2</w:t>
      </w:r>
    </w:p>
    <w:p>
      <w:pPr>
        <w:pStyle w:val="NormalWeb"/>
        <w:spacing w:before="0" w:after="0"/>
        <w:ind w:left="708" w:hanging="0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Web"/>
        <w:spacing w:before="0" w:after="0"/>
        <w:ind w:left="708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SPECYFIKACJA TECHNICZNA</w:t>
      </w:r>
    </w:p>
    <w:p>
      <w:pPr>
        <w:pStyle w:val="Normal"/>
        <w:jc w:val="center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>RĘCZNY MIOTACZ PIEPRZU O POJEMNOŚCI 75 ml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2"/>
        </w:numPr>
        <w:spacing w:lineRule="auto" w:line="276"/>
        <w:ind w:left="426" w:right="0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Przeznaczenie</w:t>
      </w:r>
    </w:p>
    <w:p>
      <w:pPr>
        <w:pStyle w:val="Wcicietrecitekstu"/>
        <w:spacing w:before="0" w:after="0"/>
        <w:ind w:left="426" w:right="0" w:hanging="0"/>
        <w:jc w:val="both"/>
        <w:rPr/>
      </w:pPr>
      <w:r>
        <w:rPr>
          <w:szCs w:val="24"/>
          <w:lang w:val="pl-PL"/>
        </w:rPr>
        <w:t xml:space="preserve">Ręczny miotacz </w:t>
      </w:r>
      <w:r>
        <w:rPr>
          <w:szCs w:val="24"/>
        </w:rPr>
        <w:t xml:space="preserve">pieprzu jest środkiem przymusu bezpośredniego </w:t>
      </w:r>
      <w:r>
        <w:rPr>
          <w:szCs w:val="24"/>
          <w:lang w:val="pl-PL"/>
        </w:rPr>
        <w:t xml:space="preserve">stosowanym przez funkcjonariuszy Policji </w:t>
      </w:r>
      <w:r>
        <w:rPr>
          <w:szCs w:val="24"/>
        </w:rPr>
        <w:t>w przypadkach określonych w</w:t>
      </w:r>
      <w:r>
        <w:rPr>
          <w:szCs w:val="24"/>
          <w:lang w:val="pl-PL"/>
        </w:rPr>
        <w:t xml:space="preserve"> </w:t>
      </w:r>
      <w:r>
        <w:rPr>
          <w:szCs w:val="24"/>
        </w:rPr>
        <w:t>przepisach prawa, szczególnie</w:t>
      </w:r>
      <w:r>
        <w:rPr>
          <w:szCs w:val="24"/>
          <w:lang w:val="pl-PL"/>
        </w:rPr>
        <w:t xml:space="preserve"> </w:t>
      </w:r>
      <w:r>
        <w:rPr>
          <w:szCs w:val="24"/>
        </w:rPr>
        <w:t>w</w:t>
      </w:r>
      <w:r>
        <w:rPr>
          <w:szCs w:val="24"/>
          <w:lang w:val="pl-PL"/>
        </w:rPr>
        <w:t> </w:t>
      </w:r>
      <w:r>
        <w:rPr>
          <w:szCs w:val="24"/>
        </w:rPr>
        <w:t>sytuacji</w:t>
      </w:r>
      <w:r>
        <w:rPr>
          <w:szCs w:val="24"/>
          <w:lang w:val="pl-PL"/>
        </w:rPr>
        <w:t xml:space="preserve"> konieczności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wyegzekwowania zachowania zgodnego z prawem </w:t>
      </w:r>
      <w:r>
        <w:rPr>
          <w:szCs w:val="24"/>
        </w:rPr>
        <w:t>lub obezwładnienia niebezpiecznej osoby, w tym także znajdującej się pod wpływem alkoholu, narkotyków lub innych, podobnie działających środków</w:t>
      </w:r>
      <w:r>
        <w:rPr>
          <w:szCs w:val="24"/>
          <w:lang w:val="pl-PL"/>
        </w:rPr>
        <w:t xml:space="preserve">. </w:t>
      </w:r>
    </w:p>
    <w:p>
      <w:pPr>
        <w:pStyle w:val="Wcicietrecitekstu"/>
        <w:spacing w:before="0" w:after="0"/>
        <w:ind w:left="357" w:right="0" w:hanging="0"/>
        <w:jc w:val="both"/>
        <w:rPr>
          <w:strike/>
          <w:szCs w:val="24"/>
          <w:lang w:val="pl-PL"/>
        </w:rPr>
      </w:pPr>
      <w:r>
        <w:rPr>
          <w:strike/>
          <w:szCs w:val="24"/>
          <w:lang w:val="pl-PL"/>
        </w:rPr>
      </w:r>
    </w:p>
    <w:p>
      <w:pPr>
        <w:pStyle w:val="Nagwek1"/>
        <w:numPr>
          <w:ilvl w:val="0"/>
          <w:numId w:val="2"/>
        </w:numPr>
        <w:spacing w:lineRule="auto" w:line="276"/>
        <w:ind w:left="426" w:right="0" w:hanging="426"/>
        <w:jc w:val="left"/>
        <w:rPr>
          <w:rFonts w:ascii="Times New Roman" w:hAnsi="Times New Roman" w:cs="Times New Roman"/>
          <w:bCs/>
          <w:kern w:val="2"/>
          <w:sz w:val="24"/>
          <w:szCs w:val="32"/>
          <w:lang w:val="pl-PL"/>
        </w:rPr>
      </w:pPr>
      <w:r>
        <w:rPr>
          <w:rFonts w:cs="Times New Roman" w:ascii="Times New Roman" w:hAnsi="Times New Roman"/>
          <w:bCs/>
          <w:kern w:val="2"/>
          <w:sz w:val="24"/>
          <w:szCs w:val="32"/>
          <w:lang w:val="pl-PL"/>
        </w:rPr>
        <w:t>Warunki bezpieczeństwa</w:t>
      </w:r>
    </w:p>
    <w:p>
      <w:pPr>
        <w:pStyle w:val="Wcicietrecitekstu"/>
        <w:widowControl/>
        <w:numPr>
          <w:ilvl w:val="0"/>
          <w:numId w:val="3"/>
        </w:numPr>
        <w:tabs>
          <w:tab w:val="clear" w:pos="709"/>
          <w:tab w:val="left" w:pos="426" w:leader="none"/>
        </w:tabs>
        <w:suppressAutoHyphens w:val="false"/>
        <w:spacing w:before="0" w:after="0"/>
        <w:ind w:left="714" w:right="0" w:hanging="288"/>
        <w:jc w:val="both"/>
        <w:rPr/>
      </w:pPr>
      <w:r>
        <w:rPr>
          <w:szCs w:val="24"/>
        </w:rPr>
        <w:t>Działanie substancji czynnej zastosowanej w miotaczu musi być w pełni odwracalne, tzn. nie może wywoływać trwałych skutków u osoby, wobec której miotacza użyto.</w:t>
      </w:r>
      <w:r>
        <w:rPr>
          <w:szCs w:val="24"/>
          <w:lang w:val="pl-PL"/>
        </w:rPr>
        <w:t xml:space="preserve"> </w:t>
      </w:r>
      <w:r>
        <w:rPr>
          <w:szCs w:val="24"/>
        </w:rPr>
        <w:t>Po przemyciu podrażnionych miejsc wodą działanie substancji czynnej musi ustępować po czasie nie dłuższym niż ok. 2,5 [h].</w:t>
      </w:r>
    </w:p>
    <w:p>
      <w:pPr>
        <w:pStyle w:val="Wcicietrecitekstu"/>
        <w:widowControl/>
        <w:numPr>
          <w:ilvl w:val="0"/>
          <w:numId w:val="3"/>
        </w:numPr>
        <w:suppressAutoHyphens w:val="false"/>
        <w:spacing w:before="0" w:after="0"/>
        <w:ind w:left="720" w:right="0" w:hanging="294"/>
        <w:jc w:val="both"/>
        <w:rPr>
          <w:szCs w:val="24"/>
        </w:rPr>
      </w:pPr>
      <w:r>
        <w:rPr>
          <w:szCs w:val="24"/>
        </w:rPr>
        <w:t>Zastosowana substancja czynna nie może powodować oparzeń skóry i innych tkanek, a jej działanie musi ograniczać się do czasowego podrażnienia skóry, błony śluzowej: oczu, jamy ustnej i nosa.</w:t>
      </w:r>
    </w:p>
    <w:p>
      <w:pPr>
        <w:pStyle w:val="Wcicietrecitekstu"/>
        <w:widowControl/>
        <w:numPr>
          <w:ilvl w:val="0"/>
          <w:numId w:val="3"/>
        </w:numPr>
        <w:suppressAutoHyphens w:val="false"/>
        <w:spacing w:before="0" w:after="0"/>
        <w:ind w:left="714" w:right="0" w:hanging="288"/>
        <w:jc w:val="both"/>
        <w:rPr>
          <w:szCs w:val="24"/>
        </w:rPr>
      </w:pPr>
      <w:r>
        <w:rPr>
          <w:szCs w:val="24"/>
        </w:rPr>
        <w:t>Zawartość miotacza musi być niepalna i nietoksyczna.</w:t>
      </w:r>
    </w:p>
    <w:p>
      <w:pPr>
        <w:pStyle w:val="Wcicietrecitekstu"/>
        <w:widowControl/>
        <w:suppressAutoHyphens w:val="false"/>
        <w:spacing w:before="0" w:after="0"/>
        <w:ind w:left="720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2"/>
        </w:numPr>
        <w:spacing w:lineRule="auto" w:line="276"/>
        <w:ind w:left="426" w:right="0" w:hanging="426"/>
        <w:jc w:val="left"/>
        <w:rPr>
          <w:rFonts w:ascii="Times New Roman" w:hAnsi="Times New Roman" w:cs="Times New Roman"/>
          <w:bCs/>
          <w:kern w:val="2"/>
          <w:sz w:val="24"/>
          <w:szCs w:val="32"/>
          <w:lang w:val="pl-PL"/>
        </w:rPr>
      </w:pPr>
      <w:r>
        <w:rPr>
          <w:rFonts w:cs="Times New Roman" w:ascii="Times New Roman" w:hAnsi="Times New Roman"/>
          <w:bCs/>
          <w:kern w:val="2"/>
          <w:sz w:val="24"/>
          <w:szCs w:val="32"/>
          <w:lang w:val="pl-PL"/>
        </w:rPr>
        <w:t>Zasięg i wydajność miotacza</w:t>
      </w:r>
    </w:p>
    <w:p>
      <w:pPr>
        <w:pStyle w:val="Wcicietrecitekstu"/>
        <w:numPr>
          <w:ilvl w:val="0"/>
          <w:numId w:val="4"/>
        </w:numPr>
        <w:spacing w:before="0" w:after="0"/>
        <w:ind w:left="786" w:right="0" w:hanging="360"/>
        <w:rPr/>
      </w:pPr>
      <w:r>
        <w:rPr>
          <w:szCs w:val="24"/>
        </w:rPr>
        <w:t xml:space="preserve">Efektywny zasięg strumienia mieszanki pieprzowej - minimum </w:t>
      </w:r>
      <w:r>
        <w:rPr>
          <w:szCs w:val="24"/>
          <w:lang w:val="pl-PL"/>
        </w:rPr>
        <w:t>2</w:t>
      </w:r>
      <w:r>
        <w:rPr>
          <w:szCs w:val="24"/>
        </w:rPr>
        <w:t xml:space="preserve"> [m].</w:t>
      </w:r>
    </w:p>
    <w:p>
      <w:pPr>
        <w:pStyle w:val="Wcicietrecitekstu"/>
        <w:numPr>
          <w:ilvl w:val="0"/>
          <w:numId w:val="4"/>
        </w:numPr>
        <w:tabs>
          <w:tab w:val="clear" w:pos="709"/>
          <w:tab w:val="left" w:pos="567" w:leader="none"/>
        </w:tabs>
        <w:spacing w:before="0" w:after="0"/>
        <w:ind w:left="709" w:right="0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Wydajność miotacza musi pozwalać na uzyskanie minimum 8 jednosekundowych użyć,   bez wystąpienia spadku zasięgu wystrzeliwanej mieszanki, poniżej wartości progowej (2 [m]).</w:t>
      </w:r>
    </w:p>
    <w:p>
      <w:pPr>
        <w:pStyle w:val="Wcicietrecitekstu"/>
        <w:spacing w:before="0" w:after="0"/>
        <w:ind w:left="357" w:right="0" w:hanging="0"/>
        <w:rPr>
          <w:szCs w:val="24"/>
          <w:lang w:val="pl-PL"/>
        </w:rPr>
      </w:pPr>
      <w:r>
        <w:rPr>
          <w:szCs w:val="24"/>
          <w:lang w:val="pl-PL"/>
        </w:rPr>
      </w:r>
    </w:p>
    <w:p>
      <w:pPr>
        <w:pStyle w:val="Nagwek1"/>
        <w:numPr>
          <w:ilvl w:val="0"/>
          <w:numId w:val="2"/>
        </w:numPr>
        <w:spacing w:lineRule="auto" w:line="276"/>
        <w:ind w:left="426" w:right="0" w:hanging="426"/>
        <w:jc w:val="left"/>
        <w:rPr>
          <w:rFonts w:ascii="Times New Roman" w:hAnsi="Times New Roman" w:cs="Times New Roman"/>
          <w:bCs/>
          <w:kern w:val="2"/>
          <w:sz w:val="24"/>
          <w:szCs w:val="32"/>
          <w:lang w:val="pl-PL"/>
        </w:rPr>
      </w:pPr>
      <w:r>
        <w:rPr>
          <w:rFonts w:cs="Times New Roman" w:ascii="Times New Roman" w:hAnsi="Times New Roman"/>
          <w:bCs/>
          <w:kern w:val="2"/>
          <w:sz w:val="24"/>
          <w:szCs w:val="32"/>
          <w:lang w:val="pl-PL"/>
        </w:rPr>
        <w:t>Podstawowe dane techniczne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7" w:leader="none"/>
        </w:tabs>
        <w:spacing w:lineRule="auto" w:line="276"/>
        <w:ind w:left="426" w:right="0" w:hanging="0"/>
        <w:rPr/>
      </w:pPr>
      <w:r>
        <w:rPr>
          <w:szCs w:val="24"/>
        </w:rPr>
        <w:t>Forma ewakuacji substancji czynnej ze zbiornika miotacza - ukierunkowany strumień</w:t>
      </w:r>
      <w:r>
        <w:rPr>
          <w:rFonts w:cs="Arial" w:ascii="Arial" w:hAnsi="Arial"/>
          <w:sz w:val="22"/>
        </w:rPr>
        <w:t>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spacing w:lineRule="auto" w:line="276"/>
        <w:ind w:left="709" w:right="0" w:hanging="283"/>
        <w:jc w:val="both"/>
        <w:rPr>
          <w:szCs w:val="24"/>
        </w:rPr>
      </w:pPr>
      <w:r>
        <w:rPr>
          <w:szCs w:val="24"/>
        </w:rPr>
        <w:t>Rodzaj substancji czynnej – 10% (min.) olej pieprzowy OC (Oleoresin Capsicum), zawartość czynnego alkaloidu capsaicyny w OC co najmniej 1,33% - o mocy minimum 2 mln SHU.</w:t>
      </w:r>
    </w:p>
    <w:p>
      <w:pPr>
        <w:pStyle w:val="Wcicietrecitekstu"/>
        <w:widowControl/>
        <w:numPr>
          <w:ilvl w:val="0"/>
          <w:numId w:val="5"/>
        </w:numPr>
        <w:suppressAutoHyphens w:val="false"/>
        <w:spacing w:before="0" w:after="0"/>
        <w:ind w:left="720" w:right="0" w:hanging="294"/>
        <w:jc w:val="both"/>
        <w:rPr/>
      </w:pPr>
      <w:r>
        <w:rPr>
          <w:szCs w:val="24"/>
        </w:rPr>
        <w:t xml:space="preserve">Substancja pędna – </w:t>
      </w:r>
      <w:r>
        <w:rPr>
          <w:szCs w:val="24"/>
          <w:lang w:val="pl-PL"/>
        </w:rPr>
        <w:t xml:space="preserve">obojętna, </w:t>
      </w:r>
      <w:r>
        <w:rPr>
          <w:szCs w:val="24"/>
        </w:rPr>
        <w:t>sprężone powietrze lub inny gaz niepalny</w:t>
      </w:r>
      <w:r>
        <w:rPr>
          <w:szCs w:val="24"/>
          <w:lang w:val="pl-PL"/>
        </w:rPr>
        <w:t>, nie oparta na bazie freonu</w:t>
      </w:r>
      <w:r>
        <w:rPr>
          <w:szCs w:val="24"/>
        </w:rPr>
        <w:t>.</w:t>
      </w:r>
    </w:p>
    <w:p>
      <w:pPr>
        <w:pStyle w:val="Wcicietrecitekstu"/>
        <w:widowControl/>
        <w:numPr>
          <w:ilvl w:val="0"/>
          <w:numId w:val="5"/>
        </w:numPr>
        <w:suppressAutoHyphens w:val="false"/>
        <w:spacing w:before="0" w:after="0"/>
        <w:ind w:left="720" w:right="0" w:hanging="294"/>
        <w:jc w:val="both"/>
        <w:rPr/>
      </w:pPr>
      <w:r>
        <w:rPr>
          <w:szCs w:val="24"/>
        </w:rPr>
        <w:t>Pojemnik</w:t>
      </w:r>
      <w:r>
        <w:rPr>
          <w:szCs w:val="24"/>
          <w:lang w:val="pl-PL"/>
        </w:rPr>
        <w:t xml:space="preserve"> </w:t>
      </w:r>
      <w:r>
        <w:rPr>
          <w:szCs w:val="24"/>
        </w:rPr>
        <w:t>–</w:t>
      </w:r>
      <w:r>
        <w:rPr>
          <w:szCs w:val="24"/>
          <w:lang w:val="pl-PL"/>
        </w:rPr>
        <w:t xml:space="preserve"> ciśnieniowy, cylindryczny, wykonany z aluminium lub jego stopu. </w:t>
      </w:r>
    </w:p>
    <w:p>
      <w:pPr>
        <w:pStyle w:val="Wcicietrecitekstu"/>
        <w:widowControl/>
        <w:numPr>
          <w:ilvl w:val="0"/>
          <w:numId w:val="5"/>
        </w:numPr>
        <w:suppressAutoHyphens w:val="false"/>
        <w:spacing w:before="0" w:after="0"/>
        <w:ind w:left="720" w:right="0" w:hanging="295"/>
        <w:jc w:val="both"/>
        <w:rPr/>
      </w:pPr>
      <w:r>
        <w:rPr>
          <w:szCs w:val="24"/>
        </w:rPr>
        <w:t xml:space="preserve">Głowica z dyszą – </w:t>
      </w:r>
      <w:r>
        <w:rPr>
          <w:szCs w:val="24"/>
          <w:lang w:val="pl-PL"/>
        </w:rPr>
        <w:t xml:space="preserve">wykonana z wysokowytrzymałego tworzywa sztucznego, wyposażona w zabezpieczenie </w:t>
      </w:r>
      <w:r>
        <w:rPr>
          <w:szCs w:val="24"/>
        </w:rPr>
        <w:t xml:space="preserve">przed przypadkowym użyciem miotacza.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2"/>
        </w:numPr>
        <w:tabs>
          <w:tab w:val="clear" w:pos="709"/>
          <w:tab w:val="left" w:pos="426" w:leader="none"/>
        </w:tabs>
        <w:spacing w:lineRule="auto" w:line="276"/>
        <w:ind w:left="426" w:right="0" w:hanging="426"/>
        <w:jc w:val="left"/>
        <w:rPr>
          <w:rFonts w:ascii="Times New Roman" w:hAnsi="Times New Roman" w:cs="Times New Roman"/>
          <w:bCs/>
          <w:kern w:val="2"/>
          <w:sz w:val="24"/>
          <w:szCs w:val="32"/>
          <w:lang w:val="pl-PL"/>
        </w:rPr>
      </w:pPr>
      <w:r>
        <w:rPr>
          <w:rFonts w:cs="Times New Roman" w:ascii="Times New Roman" w:hAnsi="Times New Roman"/>
          <w:bCs/>
          <w:kern w:val="2"/>
          <w:sz w:val="24"/>
          <w:szCs w:val="32"/>
          <w:lang w:val="pl-PL"/>
        </w:rPr>
        <w:t>Wymiary i pojemność</w:t>
      </w:r>
    </w:p>
    <w:p>
      <w:pPr>
        <w:pStyle w:val="Wcicietrecitekstu"/>
        <w:widowControl/>
        <w:numPr>
          <w:ilvl w:val="0"/>
          <w:numId w:val="6"/>
        </w:numPr>
        <w:suppressAutoHyphens w:val="false"/>
        <w:spacing w:before="0" w:after="0"/>
        <w:ind w:left="720" w:right="0" w:hanging="294"/>
        <w:jc w:val="both"/>
        <w:rPr/>
      </w:pPr>
      <w:r>
        <w:rPr>
          <w:szCs w:val="24"/>
        </w:rPr>
        <w:t xml:space="preserve">Całkowita </w:t>
      </w:r>
      <w:r>
        <w:rPr>
          <w:szCs w:val="24"/>
          <w:lang w:val="pl-PL"/>
        </w:rPr>
        <w:t>wysokość miotacza</w:t>
      </w:r>
      <w:r>
        <w:rPr>
          <w:szCs w:val="24"/>
        </w:rPr>
        <w:t xml:space="preserve">        - </w:t>
      </w:r>
      <w:r>
        <w:rPr>
          <w:szCs w:val="24"/>
          <w:lang w:val="pl-PL"/>
        </w:rPr>
        <w:t>125</w:t>
      </w:r>
      <w:r>
        <w:rPr>
          <w:szCs w:val="24"/>
        </w:rPr>
        <w:t xml:space="preserve"> +/- 1 [m</w:t>
      </w:r>
      <w:r>
        <w:rPr>
          <w:szCs w:val="24"/>
          <w:lang w:val="pl-PL"/>
        </w:rPr>
        <w:t>m</w:t>
      </w:r>
      <w:r>
        <w:rPr>
          <w:szCs w:val="24"/>
        </w:rPr>
        <w:t>].</w:t>
      </w:r>
    </w:p>
    <w:p>
      <w:pPr>
        <w:pStyle w:val="Wcicietrecitekstu"/>
        <w:widowControl/>
        <w:numPr>
          <w:ilvl w:val="0"/>
          <w:numId w:val="6"/>
        </w:numPr>
        <w:suppressAutoHyphens w:val="false"/>
        <w:spacing w:before="0" w:after="0"/>
        <w:ind w:left="720" w:right="0" w:hanging="294"/>
        <w:jc w:val="both"/>
        <w:rPr/>
      </w:pPr>
      <w:r>
        <w:rPr>
          <w:szCs w:val="24"/>
          <w:lang w:val="pl-PL"/>
        </w:rPr>
        <w:t>Średnica pojemnika miotacza</w:t>
      </w:r>
      <w:r>
        <w:rPr>
          <w:szCs w:val="24"/>
        </w:rPr>
        <w:t xml:space="preserve">     </w:t>
      </w:r>
      <w:r>
        <w:rPr>
          <w:szCs w:val="24"/>
          <w:lang w:val="pl-PL"/>
        </w:rPr>
        <w:t xml:space="preserve">    </w:t>
      </w:r>
      <w:r>
        <w:rPr>
          <w:szCs w:val="24"/>
        </w:rPr>
        <w:t xml:space="preserve">- </w:t>
      </w:r>
      <w:r>
        <w:rPr>
          <w:szCs w:val="24"/>
          <w:lang w:val="pl-PL"/>
        </w:rPr>
        <w:t xml:space="preserve">35 </w:t>
      </w:r>
      <w:r>
        <w:rPr>
          <w:szCs w:val="24"/>
        </w:rPr>
        <w:t>+/- 1 [m</w:t>
      </w:r>
      <w:r>
        <w:rPr>
          <w:szCs w:val="24"/>
          <w:lang w:val="pl-PL"/>
        </w:rPr>
        <w:t>m</w:t>
      </w:r>
      <w:r>
        <w:rPr>
          <w:szCs w:val="24"/>
        </w:rPr>
        <w:t>].</w:t>
      </w:r>
    </w:p>
    <w:p>
      <w:pPr>
        <w:pStyle w:val="Wcicietrecitekstu"/>
        <w:widowControl/>
        <w:numPr>
          <w:ilvl w:val="0"/>
          <w:numId w:val="6"/>
        </w:numPr>
        <w:suppressAutoHyphens w:val="false"/>
        <w:spacing w:before="0" w:after="0"/>
        <w:ind w:left="720" w:right="0" w:hanging="295"/>
        <w:jc w:val="both"/>
        <w:rPr/>
      </w:pPr>
      <w:r>
        <w:rPr>
          <w:szCs w:val="24"/>
          <w:lang w:val="pl-PL"/>
        </w:rPr>
        <w:t xml:space="preserve">Pojemność zbiornika                       - 75 </w:t>
      </w:r>
      <w:r>
        <w:rPr>
          <w:szCs w:val="24"/>
        </w:rPr>
        <w:t>+/- 1 [m</w:t>
      </w:r>
      <w:r>
        <w:rPr>
          <w:szCs w:val="24"/>
          <w:lang w:val="pl-PL"/>
        </w:rPr>
        <w:t>l</w:t>
      </w:r>
      <w:r>
        <w:rPr>
          <w:szCs w:val="24"/>
        </w:rPr>
        <w:t>].</w:t>
      </w:r>
    </w:p>
    <w:p>
      <w:pPr>
        <w:pStyle w:val="Wcicietrecitekstu"/>
        <w:widowControl/>
        <w:numPr>
          <w:ilvl w:val="0"/>
          <w:numId w:val="0"/>
        </w:numPr>
        <w:suppressAutoHyphens w:val="false"/>
        <w:spacing w:before="0" w:after="0"/>
        <w:ind w:left="720" w:right="0" w:hanging="0"/>
        <w:jc w:val="both"/>
        <w:rPr/>
      </w:pPr>
      <w:r>
        <w:rPr/>
      </w:r>
    </w:p>
    <w:p>
      <w:pPr>
        <w:pStyle w:val="Normal"/>
        <w:ind w:left="426" w:right="0" w:hanging="0"/>
        <w:rPr>
          <w:szCs w:val="24"/>
          <w:lang w:val="pl-PL"/>
        </w:rPr>
      </w:pPr>
      <w:r>
        <w:rPr>
          <w:szCs w:val="24"/>
          <w:lang w:val="pl-PL"/>
        </w:rPr>
      </w:r>
    </w:p>
    <w:p>
      <w:pPr>
        <w:pStyle w:val="Normal"/>
        <w:numPr>
          <w:ilvl w:val="0"/>
          <w:numId w:val="2"/>
        </w:numPr>
        <w:ind w:left="426" w:right="0" w:hanging="426"/>
        <w:rPr>
          <w:b/>
          <w:b/>
        </w:rPr>
      </w:pPr>
      <w:r>
        <w:rPr>
          <w:b/>
        </w:rPr>
        <w:t>Znakowanie i pakowanie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before="0" w:after="0"/>
        <w:ind w:left="714" w:right="0" w:hanging="288"/>
        <w:jc w:val="both"/>
        <w:rPr>
          <w:szCs w:val="24"/>
          <w:lang w:val="pl-PL"/>
        </w:rPr>
      </w:pPr>
      <w:r>
        <w:rPr>
          <w:szCs w:val="24"/>
          <w:lang w:val="pl-PL"/>
        </w:rPr>
        <w:t>Oznaczenie etykiety zgodnie z obowiązującymi przepisami.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before="0" w:after="0"/>
        <w:ind w:left="714" w:right="0" w:hanging="288"/>
        <w:jc w:val="both"/>
        <w:rPr>
          <w:szCs w:val="24"/>
          <w:lang w:val="pl-PL"/>
        </w:rPr>
      </w:pPr>
      <w:r>
        <w:rPr>
          <w:szCs w:val="24"/>
          <w:lang w:val="pl-PL"/>
        </w:rPr>
        <w:t>Dodatkowe wymagane przez Zamawiającego:</w:t>
      </w:r>
    </w:p>
    <w:p>
      <w:pPr>
        <w:pStyle w:val="Wcicietrecitekstu"/>
        <w:widowControl/>
        <w:suppressAutoHyphens w:val="false"/>
        <w:spacing w:before="0" w:after="0"/>
        <w:ind w:left="714" w:right="0" w:hanging="0"/>
        <w:jc w:val="both"/>
        <w:rPr/>
      </w:pPr>
      <w:r>
        <w:rPr>
          <w:szCs w:val="24"/>
        </w:rPr>
        <w:t>Na zewnętrznej powierzchni</w:t>
      </w:r>
      <w:r>
        <w:rPr>
          <w:szCs w:val="24"/>
          <w:lang w:val="pl-PL"/>
        </w:rPr>
        <w:t xml:space="preserve"> </w:t>
      </w:r>
      <w:r>
        <w:rPr>
          <w:szCs w:val="24"/>
        </w:rPr>
        <w:t>każdego miotacza muszą być umieszczone w sposób trwały i</w:t>
      </w:r>
      <w:r>
        <w:rPr>
          <w:szCs w:val="24"/>
          <w:lang w:val="pl-PL"/>
        </w:rPr>
        <w:t> </w:t>
      </w:r>
      <w:r>
        <w:rPr>
          <w:szCs w:val="24"/>
        </w:rPr>
        <w:t>czytelny (w języku polskim) następujące informacje: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/>
      </w:pPr>
      <w:r>
        <w:rPr>
          <w:szCs w:val="24"/>
        </w:rPr>
        <w:t xml:space="preserve">napisy: </w:t>
      </w:r>
      <w:r>
        <w:rPr>
          <w:b/>
          <w:szCs w:val="24"/>
        </w:rPr>
        <w:t>„POLICJA”</w:t>
      </w:r>
      <w:r>
        <w:rPr>
          <w:szCs w:val="24"/>
        </w:rPr>
        <w:t xml:space="preserve"> oraz </w:t>
      </w:r>
      <w:r>
        <w:rPr>
          <w:b/>
          <w:szCs w:val="24"/>
        </w:rPr>
        <w:t>„NATURALNY ŚRODEK OBEZWŁADNIAJĄCY”</w:t>
      </w:r>
      <w:r>
        <w:rPr>
          <w:szCs w:val="24"/>
        </w:rPr>
        <w:t>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skład chemiczny z wyszczególnieniem rodzaju oraz zawartości procentowej zastosowanej substancji czynnej,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pojemność i masa brutto pełnego miotacza,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sposób użycia,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sposób przechowywania,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opis skutków działania na organizm człowieka,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/>
      </w:pPr>
      <w:r>
        <w:rPr>
          <w:szCs w:val="24"/>
        </w:rPr>
        <w:t>sposób udzielenia pierwszej pomocy</w:t>
      </w:r>
      <w:r>
        <w:rPr>
          <w:szCs w:val="24"/>
          <w:lang w:val="pl-PL"/>
        </w:rPr>
        <w:t xml:space="preserve"> przedlekarskiej</w:t>
      </w:r>
      <w:r>
        <w:rPr>
          <w:szCs w:val="24"/>
        </w:rPr>
        <w:t>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informacje ostrzegawcze,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data napełnienia miotacza i nr partii produkcyjnej,</w:t>
      </w:r>
    </w:p>
    <w:p>
      <w:pPr>
        <w:pStyle w:val="Wcicietrecitekstu"/>
        <w:widowControl/>
        <w:numPr>
          <w:ilvl w:val="0"/>
          <w:numId w:val="8"/>
        </w:numPr>
        <w:suppressAutoHyphens w:val="false"/>
        <w:spacing w:before="0" w:after="0"/>
        <w:ind w:left="1135" w:right="0" w:hanging="284"/>
        <w:jc w:val="both"/>
        <w:rPr>
          <w:szCs w:val="24"/>
        </w:rPr>
      </w:pPr>
      <w:r>
        <w:rPr>
          <w:szCs w:val="24"/>
        </w:rPr>
        <w:t>termin przydatności do użytku.</w:t>
      </w:r>
    </w:p>
    <w:p>
      <w:pPr>
        <w:pStyle w:val="Wcicietrecitekstu"/>
        <w:widowControl/>
        <w:suppressAutoHyphens w:val="false"/>
        <w:spacing w:before="0" w:after="0"/>
        <w:ind w:left="1134" w:right="0" w:hanging="0"/>
        <w:jc w:val="both"/>
        <w:rPr>
          <w:b/>
          <w:b/>
          <w:szCs w:val="24"/>
          <w:lang w:val="pl-PL"/>
        </w:rPr>
      </w:pPr>
      <w:r>
        <w:rPr>
          <w:b/>
          <w:szCs w:val="24"/>
          <w:lang w:val="pl-PL"/>
        </w:rPr>
      </w:r>
    </w:p>
    <w:p>
      <w:pPr>
        <w:pStyle w:val="Wcicietrecitekstu"/>
        <w:widowControl/>
        <w:suppressAutoHyphens w:val="false"/>
        <w:spacing w:before="0" w:after="0"/>
        <w:jc w:val="both"/>
        <w:rPr>
          <w:szCs w:val="24"/>
          <w:lang w:val="pl-PL"/>
        </w:rPr>
      </w:pPr>
      <w:r>
        <w:rPr>
          <w:szCs w:val="24"/>
          <w:lang w:val="pl-PL"/>
        </w:rPr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before="0" w:after="0"/>
        <w:ind w:left="714" w:right="0" w:hanging="288"/>
        <w:jc w:val="both"/>
        <w:rPr>
          <w:szCs w:val="24"/>
          <w:lang w:val="pl-PL"/>
        </w:rPr>
      </w:pPr>
      <w:r>
        <w:rPr>
          <w:szCs w:val="24"/>
          <w:lang w:val="pl-PL"/>
        </w:rPr>
        <w:t>Miotacze muszą być pakowane w opakowania zbiorcze zapewniające ich bezpieczny wygodny transport.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before="0" w:after="0"/>
        <w:ind w:left="714" w:right="0" w:hanging="288"/>
        <w:jc w:val="both"/>
        <w:rPr/>
      </w:pPr>
      <w:r>
        <w:rPr>
          <w:szCs w:val="24"/>
        </w:rPr>
        <w:t xml:space="preserve">Na zewnętrznej powierzchni </w:t>
      </w:r>
      <w:r>
        <w:rPr>
          <w:szCs w:val="24"/>
          <w:lang w:val="pl-PL"/>
        </w:rPr>
        <w:t xml:space="preserve">opakowania zbiorczego </w:t>
      </w:r>
      <w:r>
        <w:rPr>
          <w:szCs w:val="24"/>
        </w:rPr>
        <w:t>muszą być umieszczone w sposób trwały</w:t>
      </w:r>
      <w:r>
        <w:rPr>
          <w:szCs w:val="24"/>
          <w:lang w:val="pl-PL"/>
        </w:rPr>
        <w:t xml:space="preserve"> </w:t>
      </w:r>
      <w:r>
        <w:rPr>
          <w:szCs w:val="24"/>
        </w:rPr>
        <w:t>i czytelny (w języku polskim) następujące informacje: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/>
      </w:pPr>
      <w:r>
        <w:rPr>
          <w:szCs w:val="24"/>
        </w:rPr>
        <w:t xml:space="preserve">napisy: </w:t>
      </w:r>
      <w:r>
        <w:rPr>
          <w:b/>
          <w:szCs w:val="24"/>
        </w:rPr>
        <w:t>„POLICJA”</w:t>
      </w:r>
      <w:r>
        <w:rPr>
          <w:szCs w:val="24"/>
        </w:rPr>
        <w:t xml:space="preserve"> oraz </w:t>
      </w:r>
      <w:r>
        <w:rPr>
          <w:b/>
          <w:szCs w:val="24"/>
        </w:rPr>
        <w:t>„NATURALNY ŚRODEK OBEZWŁADNIAJĄCY”</w:t>
      </w:r>
      <w:r>
        <w:rPr>
          <w:szCs w:val="24"/>
        </w:rPr>
        <w:t>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skład chemiczny z wyszczególnieniem rodzaju oraz zawartości procentowej zastosowanej w miotaczu substancji czynnej,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ilość miotaczy znajdujących się w opakowaniu,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masa łączna brutto,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data pakowania,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termin przydatności do użytku,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sposób przechowywania,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sposób użycia miotacza,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>
          <w:szCs w:val="24"/>
        </w:rPr>
      </w:pPr>
      <w:r>
        <w:rPr>
          <w:szCs w:val="24"/>
        </w:rPr>
        <w:t>opis skutków działania na organizm człowieka,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4" w:right="0" w:hanging="283"/>
        <w:jc w:val="both"/>
        <w:rPr/>
      </w:pPr>
      <w:r>
        <w:rPr>
          <w:szCs w:val="24"/>
        </w:rPr>
        <w:t>sposób udzielenia pierwszej pomocy</w:t>
      </w:r>
      <w:r>
        <w:rPr>
          <w:szCs w:val="24"/>
          <w:lang w:val="pl-PL"/>
        </w:rPr>
        <w:t xml:space="preserve"> przedlekarskiej</w:t>
      </w:r>
      <w:r>
        <w:rPr>
          <w:szCs w:val="24"/>
        </w:rPr>
        <w:t>,</w:t>
      </w:r>
    </w:p>
    <w:p>
      <w:pPr>
        <w:pStyle w:val="Wcicietrecitekstu"/>
        <w:widowControl/>
        <w:numPr>
          <w:ilvl w:val="0"/>
          <w:numId w:val="9"/>
        </w:numPr>
        <w:suppressAutoHyphens w:val="false"/>
        <w:spacing w:before="0" w:after="0"/>
        <w:ind w:left="1135" w:right="0" w:hanging="284"/>
        <w:jc w:val="both"/>
        <w:rPr>
          <w:szCs w:val="24"/>
        </w:rPr>
      </w:pPr>
      <w:r>
        <w:rPr>
          <w:szCs w:val="24"/>
        </w:rPr>
        <w:t xml:space="preserve">informacje ostrzegawcze. </w:t>
      </w:r>
    </w:p>
    <w:p>
      <w:pPr>
        <w:pStyle w:val="Wcicietrecitekstu"/>
        <w:spacing w:before="0" w:after="0"/>
        <w:ind w:left="425" w:right="0" w:hanging="0"/>
        <w:rPr>
          <w:b/>
          <w:b/>
          <w:szCs w:val="24"/>
          <w:lang w:val="pl-PL"/>
        </w:rPr>
      </w:pPr>
      <w:r>
        <w:rPr>
          <w:b/>
          <w:szCs w:val="24"/>
          <w:lang w:val="pl-PL"/>
        </w:rPr>
      </w:r>
    </w:p>
    <w:p>
      <w:pPr>
        <w:pStyle w:val="Normal"/>
        <w:numPr>
          <w:ilvl w:val="0"/>
          <w:numId w:val="2"/>
        </w:numPr>
        <w:ind w:left="426" w:right="0" w:hanging="426"/>
        <w:rPr>
          <w:b/>
          <w:b/>
          <w:szCs w:val="24"/>
        </w:rPr>
      </w:pPr>
      <w:r>
        <w:rPr>
          <w:b/>
          <w:szCs w:val="24"/>
        </w:rPr>
        <w:t>Wymagania gwarancyjne</w:t>
      </w:r>
    </w:p>
    <w:p>
      <w:pPr>
        <w:pStyle w:val="Normal"/>
        <w:ind w:left="425" w:right="0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425" w:right="0" w:hanging="0"/>
        <w:jc w:val="both"/>
        <w:rPr/>
      </w:pPr>
      <w:r>
        <w:rPr/>
        <w:t>Wymagany minimalny okres gwarancji na przedmiot zamówienia wynosi 54 miesiące.</w:t>
      </w:r>
    </w:p>
    <w:p>
      <w:pPr>
        <w:pStyle w:val="Normal"/>
        <w:ind w:left="425" w:right="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ind w:left="426" w:right="0" w:hanging="426"/>
        <w:rPr>
          <w:b/>
          <w:b/>
          <w:szCs w:val="24"/>
        </w:rPr>
      </w:pPr>
      <w:r>
        <w:rPr>
          <w:b/>
          <w:szCs w:val="24"/>
        </w:rPr>
        <w:t>Wymagania dodatkowe</w:t>
      </w:r>
    </w:p>
    <w:p>
      <w:pPr>
        <w:pStyle w:val="Normal"/>
        <w:numPr>
          <w:ilvl w:val="0"/>
          <w:numId w:val="10"/>
        </w:numPr>
        <w:ind w:left="709" w:right="0" w:hanging="283"/>
        <w:jc w:val="both"/>
        <w:rPr/>
      </w:pPr>
      <w:r>
        <w:rPr>
          <w:szCs w:val="24"/>
        </w:rPr>
        <w:t xml:space="preserve">Aktualny atest higieniczny, wydany przez PZH lub inną instytucję posiadającą akredytowane laboratorium na terenie Polski lub Unii Europejskiej, na mieszankę stosowaną w ręcznych miotaczach pieprzu. Ważność atestu musi być, co najmniej tak długa jak obowiązująca na miotacze gwarancja – </w:t>
      </w:r>
      <w:r>
        <w:rPr>
          <w:b/>
          <w:szCs w:val="24"/>
        </w:rPr>
        <w:t>wraz z dostawą</w:t>
      </w:r>
    </w:p>
    <w:p>
      <w:pPr>
        <w:pStyle w:val="Normal"/>
        <w:numPr>
          <w:ilvl w:val="0"/>
          <w:numId w:val="10"/>
        </w:numPr>
        <w:ind w:left="709" w:right="0" w:hanging="283"/>
        <w:jc w:val="both"/>
        <w:rPr/>
      </w:pPr>
      <w:r>
        <w:rPr/>
        <w:t xml:space="preserve">Zaświadczenie niezależnego podmiotu uprawniającego do kontroli jakości potwierdzające, że miotacze pieprzu odpowiadają określonym normom lub specyfikacji technicznej </w:t>
      </w:r>
      <w:r>
        <w:rPr>
          <w:b/>
        </w:rPr>
        <w:t>– wraz z ofertą</w:t>
      </w:r>
    </w:p>
    <w:p>
      <w:pPr>
        <w:pStyle w:val="Normal"/>
        <w:ind w:left="426" w:right="0" w:hanging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eastAsia="Andale Sans UI;Arial Unicode MS" w:cs="Times New Roman"/>
          <w:b/>
          <w:b/>
          <w:bCs/>
          <w:sz w:val="22"/>
          <w:szCs w:val="22"/>
          <w:lang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sz w:val="24"/>
        <w:szCs w:val="24"/>
        <w:bCs/>
        <w:rFonts w:ascii="OpenSymbol;Arial Unicode MS" w:hAnsi="OpenSymbol;Arial Unicode MS" w:eastAsia="OpenSymbol;Arial Unicode MS"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OpenSymbol;Arial Unicode MS" w:hAnsi="OpenSymbol;Arial Unicode MS" w:eastAsia="OpenSymbol;Arial Unicode MS"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  <w:bCs/>
        <w:rFonts w:ascii="Liberation Serif" w:hAnsi="Liberation Serif" w:eastAsia="OpenSymbol;Arial Unicode MS"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jc w:val="right"/>
      <w:outlineLvl w:val="0"/>
    </w:pPr>
    <w:rPr>
      <w:rFonts w:ascii="Bookman Old Style" w:hAnsi="Bookman Old Style" w:cs="Bookman Old Style"/>
      <w:b/>
      <w:sz w:val="20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Czeinternetowe">
    <w:name w:val="Hyperlink"/>
    <w:rPr>
      <w:color w:val="000080"/>
      <w:u w:val="single"/>
    </w:rPr>
  </w:style>
  <w:style w:type="character" w:styleId="WW8Num9z0">
    <w:name w:val="WW8Num9z0"/>
    <w:qFormat/>
    <w:rPr>
      <w:rFonts w:ascii="Times New Roman" w:hAnsi="Times New Roman" w:cs="Times New Roman"/>
      <w:bCs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5z0">
    <w:name w:val="WW8Num5z0"/>
    <w:qFormat/>
    <w:rPr>
      <w:rFonts w:ascii="OpenSymbol;Arial Unicode MS" w:hAnsi="OpenSymbol;Arial Unicode MS" w:eastAsia="OpenSymbol;Arial Unicode MS" w:cs="OpenSymbol;Arial Unicode MS"/>
      <w:bCs/>
      <w:sz w:val="24"/>
      <w:szCs w:val="24"/>
    </w:rPr>
  </w:style>
  <w:style w:type="character" w:styleId="WW8Num4z0">
    <w:name w:val="WW8Num4z0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WW8Num7z0">
    <w:name w:val="WW8Num7z0"/>
    <w:qFormat/>
    <w:rPr>
      <w:rFonts w:ascii="Liberation Serif" w:hAnsi="Liberation Serif" w:eastAsia="OpenSymbol;Arial Unicode MS" w:cs="OpenSymbol;Arial Unicode MS"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="28" w:after="119"/>
    </w:pPr>
    <w:rPr>
      <w:rFonts w:eastAsia="Times New Roman" w:cs="Times New Roma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lang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0">
    <w:name w:val="WW8Num10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LibreOffice/7.4.5.1$Windows_X86_64 LibreOffice_project/9c0871452b3918c1019dde9bfac75448afc4b57f</Application>
  <AppVersion>15.0000</AppVersion>
  <Pages>2</Pages>
  <Words>562</Words>
  <Characters>3621</Characters>
  <CharactersWithSpaces>4142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2023-06-22T12:20:00Z</dcterms:created>
  <dc:creator>Milena</dc:creator>
  <dc:description/>
  <dc:language>pl-PL</dc:language>
  <cp:lastModifiedBy/>
  <cp:lastPrinted>2023-07-10T09:23:43Z</cp:lastPrinted>
  <dcterms:modified xsi:type="dcterms:W3CDTF">2024-06-27T14:09:28Z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