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/>
        <w:spacing w:lineRule="auto" w:line="360" w:before="0" w:after="0"/>
        <w:ind w:left="637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2 </w:t>
      </w:r>
    </w:p>
    <w:p>
      <w:pPr>
        <w:pStyle w:val="NormalWeb"/>
        <w:widowControl/>
        <w:spacing w:lineRule="auto" w:line="360" w:before="0" w:after="0"/>
        <w:ind w:left="6379"/>
        <w:jc w:val="right"/>
        <w:rPr>
          <w:sz w:val="22"/>
          <w:szCs w:val="22"/>
        </w:rPr>
      </w:pPr>
      <w:r>
        <w:rPr>
          <w:sz w:val="22"/>
          <w:szCs w:val="22"/>
        </w:rPr>
        <w:t>do ogłoszenia o zamówieniu</w:t>
      </w:r>
    </w:p>
    <w:p>
      <w:pPr>
        <w:pStyle w:val="NormalWeb"/>
        <w:widowControl/>
        <w:spacing w:lineRule="auto" w:line="360" w:before="0" w:after="0"/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ZI-…..…./2025</w:t>
      </w:r>
    </w:p>
    <w:p>
      <w:pPr>
        <w:pStyle w:val="Normal"/>
        <w:suppressAutoHyphens w:val="false"/>
        <w:spacing w:lineRule="auto" w:line="259" w:before="0" w:after="16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59" w:before="0" w:after="16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59" w:before="0" w:after="16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59" w:before="0" w:after="160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>KOMENDA GŁÓWNA POLICJI</w:t>
      </w:r>
    </w:p>
    <w:p>
      <w:pPr>
        <w:pStyle w:val="Normal"/>
        <w:suppressAutoHyphens w:val="false"/>
        <w:spacing w:lineRule="auto" w:line="259" w:before="0" w:after="160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2333625</wp:posOffset>
            </wp:positionH>
            <wp:positionV relativeFrom="paragraph">
              <wp:posOffset>385445</wp:posOffset>
            </wp:positionV>
            <wp:extent cx="1143000" cy="1139190"/>
            <wp:effectExtent l="0" t="0" r="0" b="0"/>
            <wp:wrapNone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uppressAutoHyphens w:val="false"/>
        <w:spacing w:lineRule="auto" w:line="259" w:before="0" w:after="160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</w:r>
    </w:p>
    <w:p>
      <w:pPr>
        <w:pStyle w:val="Normal"/>
        <w:suppressAutoHyphens w:val="false"/>
        <w:spacing w:lineRule="auto" w:line="259" w:before="0" w:after="160"/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eastAsia="Times New Roman" w:cs="Times New Roman" w:ascii="Times New Roman" w:hAnsi="Times New Roman"/>
          <w:b/>
          <w:sz w:val="36"/>
          <w:szCs w:val="36"/>
        </w:rPr>
        <w:t>SPECYFIKACJA TECHNICZNA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AMUNICJA DO BRONI STRZELECKIEJ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9x19 mm NABÓJ PARABELLUM 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Grupa 3 – amunicja, lp.1 – amunicja bojowa do broni palnej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Nr ewidencyjny – </w:t>
      </w:r>
      <w:bookmarkStart w:id="0" w:name="_Hlk132721537"/>
      <w:r>
        <w:rPr>
          <w:rFonts w:eastAsia="Times New Roman" w:cs="Times New Roman" w:ascii="Times New Roman" w:hAnsi="Times New Roman"/>
          <w:b/>
          <w:sz w:val="24"/>
          <w:szCs w:val="24"/>
        </w:rPr>
        <w:t>23/U/BLP/KGP/2015, edycja 2015 r.</w:t>
      </w:r>
      <w:bookmarkEnd w:id="0"/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bookmarkStart w:id="1" w:name="_GoBack"/>
      <w:bookmarkStart w:id="2" w:name="_GoBack"/>
      <w:bookmarkEnd w:id="2"/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bookmarkStart w:id="3" w:name="_Hlk132721565"/>
      <w:r>
        <w:rPr>
          <w:rFonts w:eastAsia="Times New Roman" w:cs="Times New Roman" w:ascii="Times New Roman" w:hAnsi="Times New Roman"/>
          <w:sz w:val="24"/>
          <w:szCs w:val="24"/>
        </w:rPr>
        <w:t>/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tekst ujednolicony, wrzesień 2020/</w:t>
      </w:r>
      <w:bookmarkEnd w:id="3"/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b/>
          <w:sz w:val="1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sz w:val="18"/>
          <w:szCs w:val="20"/>
          <w:lang w:eastAsia="x-none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b/>
          <w:sz w:val="18"/>
          <w:szCs w:val="20"/>
          <w:lang w:eastAsia="x-none"/>
        </w:rPr>
      </w:pPr>
      <w:r>
        <w:rPr>
          <w:rFonts w:eastAsia="Times New Roman" w:cs="Times New Roman" w:ascii="Times New Roman" w:hAnsi="Times New Roman"/>
          <w:b/>
          <w:sz w:val="18"/>
          <w:szCs w:val="20"/>
          <w:lang w:eastAsia="x-none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</w:tabs>
        <w:spacing w:lineRule="auto" w:line="240"/>
        <w:ind w:hanging="1080"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PRZEZNACZENIE DOKUMENTU</w:t>
      </w:r>
    </w:p>
    <w:p>
      <w:pPr>
        <w:pStyle w:val="Normal"/>
        <w:tabs>
          <w:tab w:val="clear" w:pos="708"/>
          <w:tab w:val="left" w:pos="3600" w:leader="none"/>
        </w:tabs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Specyfikacja Techniczna identyfikuje wyrób poprzez określenie wymagań, jakie powinien spełniać: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/>
        <w:ind w:hanging="426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zakresie wymagań: technicznych, jakościowych, związanych z bezpieczeństwem użytkowania,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40"/>
        <w:ind w:hanging="426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odniesieniu do: nazewnictwa, symboli, badań i metodologii badań, znakowania oraz oznaczania wyrobu.</w:t>
      </w:r>
    </w:p>
    <w:p>
      <w:pPr>
        <w:pStyle w:val="Normal"/>
        <w:tabs>
          <w:tab w:val="clear" w:pos="708"/>
          <w:tab w:val="left" w:pos="3600" w:leader="none"/>
        </w:tabs>
        <w:spacing w:lineRule="auto" w:line="240"/>
        <w:ind w:hanging="142"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3600" w:leader="none"/>
        </w:tabs>
        <w:spacing w:lineRule="auto" w:line="240"/>
        <w:ind w:hanging="567"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ZAKRES STOSOWANIA DOKUMENTU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Specyfikacja Techniczna jest wykorzystywana w realizacji zamówień publicznych oraz w systemie oceny zgodności wyrobów przeznaczonych na potrzeby obronności </w:t>
        <w:br/>
        <w:t>i bezpieczeństwa państwa.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3600" w:leader="none"/>
        </w:tabs>
        <w:spacing w:lineRule="auto" w:line="240"/>
        <w:ind w:hanging="567"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DOKUMENTY ODNIESIENIA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40" w:before="120" w:after="0"/>
        <w:ind w:hanging="425"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PN-V-01013:2001 „Naboje do broni strzeleckiej. Terminologia”.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40"/>
        <w:ind w:hanging="426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NO-13-A510:2007 „Naboje do broni strzeleckiej 9x19 mm nabój (9 mm NATO). Procedury badawcze”.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40"/>
        <w:ind w:hanging="426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MOPI for NATO 9 mm Ammunition.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40"/>
        <w:ind w:hanging="426"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STANAG 4090.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3600" w:leader="none"/>
        </w:tabs>
        <w:spacing w:lineRule="auto" w:line="240"/>
        <w:ind w:hanging="567"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PRZEZNACZENIE WYROBU</w:t>
      </w:r>
    </w:p>
    <w:p>
      <w:pPr>
        <w:pStyle w:val="Bodytext71"/>
        <w:shd w:val="clear" w:color="auto" w:fill="auto"/>
        <w:spacing w:lineRule="auto" w:line="240" w:before="120" w:after="0"/>
        <w:ind w:hanging="0" w:right="-3"/>
        <w:rPr>
          <w:rFonts w:ascii="Times New Roman" w:hAnsi="Times New Roman" w:cs="Times New Roman"/>
          <w:sz w:val="24"/>
          <w:szCs w:val="24"/>
        </w:rPr>
      </w:pPr>
      <w:bookmarkStart w:id="4" w:name="_Hlk33696812"/>
      <w:r>
        <w:rPr>
          <w:rFonts w:cs="Times New Roman" w:ascii="Times New Roman" w:hAnsi="Times New Roman"/>
          <w:sz w:val="24"/>
          <w:szCs w:val="24"/>
        </w:rPr>
        <w:t>Nabój 9x19 mm Parabellum jest używany do prowadzenia ognia z broni palnej, w tym do zwalczania siły żywej, sprzętu technicznego lub do celów szkoleniowych. Nabój przeznaczony jest do strzelania z broni stanowiącej wyposażenie Policji.</w:t>
      </w:r>
      <w:bookmarkEnd w:id="4"/>
    </w:p>
    <w:p>
      <w:pPr>
        <w:pStyle w:val="Normal"/>
        <w:tabs>
          <w:tab w:val="clear" w:pos="708"/>
          <w:tab w:val="left" w:pos="3600" w:leader="none"/>
        </w:tabs>
        <w:spacing w:lineRule="auto" w:line="2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cs="Times New Roman" w:ascii="Times New Roman" w:hAnsi="Times New Roman"/>
          <w:sz w:val="24"/>
          <w:szCs w:val="24"/>
          <w:highlight w:val="lightGray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3600" w:leader="none"/>
        </w:tabs>
        <w:spacing w:lineRule="auto" w:line="240"/>
        <w:ind w:hanging="1080"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WYMAGANIA TECHNICZNE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40"/>
        <w:ind w:hanging="0" w:left="0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40"/>
        <w:ind w:hanging="0" w:left="0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5.1 </w:t>
        <w:tab/>
        <w:t>Wymagania konstrukcyjne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120" w:after="0"/>
        <w:ind w:hanging="0" w:left="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Nabój do broni strzeleckiej składa się z: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hanging="426" w:left="426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pocisk 9 mm pełnopłaszczowy (typ TFMJ lub równoważny) z rdzeniem ołowianym,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hanging="426" w:left="426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prochowy ładunek miotający,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hanging="426" w:left="426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spłonka zapalająca,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hanging="426" w:left="426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łuska 19 mm mosiężna.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/>
        <w:ind w:hanging="0" w:left="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/>
        <w:ind w:hanging="0" w:left="0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5.2 </w:t>
        <w:tab/>
        <w:t>Parametry naboju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 w:before="0" w:after="60"/>
        <w:ind w:hanging="0" w:left="0"/>
        <w:jc w:val="right"/>
        <w:outlineLvl w:val="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Tabela nr 1 Parametry naboju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1"/>
        <w:gridCol w:w="3072"/>
        <w:gridCol w:w="1128"/>
        <w:gridCol w:w="2518"/>
        <w:gridCol w:w="1813"/>
      </w:tblGrid>
      <w:tr>
        <w:trPr>
          <w:trHeight w:val="583" w:hRule="atLeast"/>
        </w:trPr>
        <w:tc>
          <w:tcPr>
            <w:tcW w:w="53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pl-PL" w:bidi="ar-SA"/>
              </w:rPr>
              <w:t>Lp.</w:t>
            </w:r>
          </w:p>
        </w:tc>
        <w:tc>
          <w:tcPr>
            <w:tcW w:w="307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pl-PL" w:bidi="ar-SA"/>
              </w:rPr>
              <w:t>Parametr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pl-PL" w:bidi="ar-SA"/>
              </w:rPr>
              <w:t>Jednostka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pl-PL" w:bidi="ar-SA"/>
              </w:rPr>
              <w:t>Wartość parametru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pl-PL" w:bidi="ar-SA"/>
              </w:rPr>
              <w:t>Metodyka badawcza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  <w:i/>
                <w:i/>
                <w:iCs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12"/>
                <w:szCs w:val="12"/>
                <w:lang w:val="pl-PL" w:bidi="ar-SA"/>
              </w:rPr>
              <w:t>1</w:t>
            </w:r>
          </w:p>
        </w:tc>
        <w:tc>
          <w:tcPr>
            <w:tcW w:w="307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  <w:i/>
                <w:i/>
                <w:iCs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12"/>
                <w:szCs w:val="12"/>
                <w:lang w:val="pl-PL" w:bidi="ar-SA"/>
              </w:rPr>
              <w:t>2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  <w:i/>
                <w:i/>
                <w:iCs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12"/>
                <w:szCs w:val="12"/>
                <w:lang w:val="pl-PL" w:bidi="ar-SA"/>
              </w:rPr>
              <w:t>3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  <w:i/>
                <w:i/>
                <w:iCs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12"/>
                <w:szCs w:val="12"/>
                <w:lang w:val="pl-PL" w:bidi="ar-SA"/>
              </w:rPr>
              <w:t>4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0" w:after="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  <w:i/>
                <w:i/>
                <w:iCs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12"/>
                <w:szCs w:val="12"/>
                <w:lang w:val="pl-PL" w:bidi="ar-SA"/>
              </w:rPr>
              <w:t>5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1</w:t>
            </w:r>
          </w:p>
        </w:tc>
        <w:tc>
          <w:tcPr>
            <w:tcW w:w="307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 xml:space="preserve">Masa pocisku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0"/>
                <w:szCs w:val="20"/>
                <w:lang w:val="pl-PL" w:bidi="ar-SA"/>
              </w:rPr>
              <w:t>m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0"/>
                <w:szCs w:val="20"/>
                <w:vertAlign w:val="subscript"/>
                <w:lang w:val="pl-PL" w:bidi="ar-SA"/>
              </w:rPr>
              <w:t>p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[g]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od 7 do 8,3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NO-13-A229:2007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2</w:t>
            </w:r>
          </w:p>
        </w:tc>
        <w:tc>
          <w:tcPr>
            <w:tcW w:w="307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Energia początkowa E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vertAlign w:val="subscript"/>
                <w:lang w:val="pl-PL" w:bidi="ar-SA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vertAlign w:val="subscript"/>
                <w:lang w:val="pl-PL" w:bidi="ar-SA"/>
              </w:rPr>
              <w:t>lub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 xml:space="preserve"> E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vertAlign w:val="subscript"/>
                <w:lang w:val="pl-PL" w:bidi="ar-SA"/>
              </w:rPr>
              <w:t>2,5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[J]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510-650 [J] dla lufy o długości 150 [mm]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NO-13-A510:2007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3</w:t>
            </w:r>
          </w:p>
        </w:tc>
        <w:tc>
          <w:tcPr>
            <w:tcW w:w="307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 xml:space="preserve">Minimalna siła rozcalania pocisku </w:t>
              <w:br/>
              <w:t>z łuski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[N]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200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NO-13-A510:2007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4</w:t>
            </w:r>
          </w:p>
        </w:tc>
        <w:tc>
          <w:tcPr>
            <w:tcW w:w="307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Wodoszczelność naboju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%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Nie więcej niż 15% naboi wskazujących nieszczelność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NO-13-A510:2007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5</w:t>
            </w:r>
          </w:p>
        </w:tc>
        <w:tc>
          <w:tcPr>
            <w:tcW w:w="307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Maksymalne ciśnienie gazów prochowych. Metoda zgniotkowa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[MPa]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P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vertAlign w:val="subscript"/>
                <w:lang w:val="pl-PL" w:bidi="ar-SA"/>
              </w:rPr>
              <w:t xml:space="preserve">max. śr.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255,15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P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vertAlign w:val="subscript"/>
                <w:lang w:val="pl-PL" w:bidi="ar-SA"/>
              </w:rPr>
              <w:t xml:space="preserve">max. najw.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294,46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NO-13-A510:2007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6</w:t>
            </w:r>
          </w:p>
        </w:tc>
        <w:tc>
          <w:tcPr>
            <w:tcW w:w="307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Skupienie pocisków w odległości od wylotu lufy równej 46 m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[mm]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R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vertAlign w:val="subscript"/>
                <w:lang w:val="pl-PL" w:bidi="ar-SA"/>
              </w:rPr>
              <w:t>s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 xml:space="preserve"> nie więcej niż 76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NO-13-A510:2007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7</w:t>
            </w:r>
          </w:p>
        </w:tc>
        <w:tc>
          <w:tcPr>
            <w:tcW w:w="307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Niezawodność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-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Zgodnie z punktem 12.2 normy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NO-13-A510:2007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8.</w:t>
            </w:r>
          </w:p>
        </w:tc>
        <w:tc>
          <w:tcPr>
            <w:tcW w:w="3072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Przegląd amunicji</w:t>
            </w:r>
          </w:p>
        </w:tc>
        <w:tc>
          <w:tcPr>
            <w:tcW w:w="112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-</w:t>
            </w:r>
          </w:p>
        </w:tc>
        <w:tc>
          <w:tcPr>
            <w:tcW w:w="2518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 xml:space="preserve">Zgodnie z Rozdziałem 3 </w:t>
              <w:br/>
              <w:t>dla próbki wg pkt 3.5.1</w:t>
            </w:r>
          </w:p>
        </w:tc>
        <w:tc>
          <w:tcPr>
            <w:tcW w:w="1813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tabs>
                <w:tab w:val="clear" w:pos="708"/>
                <w:tab w:val="left" w:pos="1134" w:leader="none"/>
              </w:tabs>
              <w:spacing w:lineRule="auto" w:line="240" w:before="40" w:after="40"/>
              <w:ind w:hanging="0" w:left="0"/>
              <w:jc w:val="center"/>
              <w:outlineLvl w:val="2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bidi="ar-SA"/>
              </w:rPr>
              <w:t>NO-13-A510:2007</w:t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/>
        <w:ind w:hanging="0" w:left="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5.3 </w:t>
        <w:tab/>
        <w:t>Wymagania jakościowe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12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Dostarczona amunicja musi być fabrycznie nowa, pochodząca z bieżącego roku produkcji, wyprodukowana w pierwszej klasie jakości. Zamawiający nie dopuszcza amunicji powtórnie elaborowanej. Zarówno jakość przedmiotowej amunicji, jak jej parametry balistyczne powinny gwarantować niezawodność i bezpieczeństwo użytkowania.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spacing w:lineRule="auto" w:line="24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5.3.1</w:t>
        <w:tab/>
        <w:t>Niedopuszczalne wady naboju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 w:before="120" w:after="0"/>
        <w:ind w:hanging="425" w:left="42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brak ładunku prochowego w naboju,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hanging="426" w:left="426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brak spłonki w naboju, więcej niż jedna spłonka, spłonka odwrócona, ruszająca się, wypadająca z łuski lub wystająca nad dno łuski,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hanging="426" w:left="426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obecność piasku lub oleju w ładunku prochowym,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hanging="426" w:left="426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przelotowe pęknięcia łuski, z wyjątkiem uszkodzeń w obszarze jej kontaktu z osadzonym pociskiem,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hanging="426" w:left="426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poprzeczne i podłużne pęknięcia łuski powodujące podczas strzału poprzeczne oderwania części łuski lub podłużne pęknięcia rozpoczynające się w odległości mniejszej niż 5mm </w:t>
        <w:br/>
        <w:t>od płaszczyzny przechodzącej przez początek kadłuba łuski,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hanging="426" w:left="426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pęknięcia nad podtoczeniem, na kryzie łuski oraz spłonce,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hanging="426" w:left="426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podwójne podtoczenie łuski,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hanging="426" w:left="426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niezgodność kształtu naboju ze sprawdzianem odbiorczym.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/>
        <w:ind w:hanging="0" w:left="0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5.3.2</w:t>
        <w:tab/>
        <w:t>Niedopuszczalne wady naboju w trakcie strzelań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 w:before="120" w:after="0"/>
        <w:ind w:hanging="425" w:left="425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utknięcie pocisku w przewodzie lufy,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hanging="425" w:left="425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opóźniony strzał,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hanging="425" w:left="425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oderwanie fragmentów łuski,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hanging="425" w:left="425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podłużne pęknięcia na kryzie i podtoczeniu łuski,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hanging="425" w:left="425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poprzeczne pęknięcia pod kryzą łuski,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hanging="425" w:left="425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rozerwanie łuski,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/>
        <w:ind w:hanging="425" w:left="425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rozdęcie łuski.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/>
        <w:ind w:hanging="0" w:left="0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5.4</w:t>
        <w:tab/>
        <w:t>Wymagania dotyczące bezpieczeństwa użytkowania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Nabój powinien być bezpieczny w użyciu i nie powinien podczas strzelania powodować uszkodzeń broni sprawnej technicznie. Masa inicjująca zastosowana w spłonce nie może zawierać metali ciężkich (ołów, antymon, bar, rtęć) ani ich związków. Dopuszczalne jest występowanie czystego ołowiu w ilości nieprzekraczającej 0,1% masy inicjującej, będące skutkiem zanieczyszczenia masy spłonkowej w toku procesu produkcyjnego.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3600" w:leader="none"/>
        </w:tabs>
        <w:spacing w:lineRule="auto" w:line="240"/>
        <w:ind w:hanging="567"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CECHOWANIE I PAKOWANIE</w:t>
      </w:r>
    </w:p>
    <w:p>
      <w:pPr>
        <w:pStyle w:val="Normal"/>
        <w:tabs>
          <w:tab w:val="clear" w:pos="708"/>
          <w:tab w:val="left" w:pos="567" w:leader="none"/>
          <w:tab w:val="left" w:pos="3600" w:leader="none"/>
        </w:tabs>
        <w:spacing w:lineRule="auto" w:line="24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/>
        <w:ind w:hanging="0" w:left="0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6.1</w:t>
        <w:tab/>
        <w:t>Wymagania odnośnie cechowania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5" w:name="_Hlk32571379"/>
      <w:r>
        <w:rPr>
          <w:rFonts w:eastAsia="Times New Roman" w:cs="Times New Roman" w:ascii="Times New Roman" w:hAnsi="Times New Roman"/>
          <w:sz w:val="24"/>
          <w:szCs w:val="24"/>
        </w:rPr>
        <w:t>Nabój na denku łuski powinien mieć naniesione wyraźnie i czytelnie /nie wystające ponad powierzchnię denka/ cechy umożliwiające jego identyfikację, tj. co najmniej – cecha producenta, oznaczenie roku produkcji, oznaczenia spełniającego normy NATO.</w:t>
      </w:r>
      <w:bookmarkEnd w:id="5"/>
    </w:p>
    <w:p>
      <w:pPr>
        <w:pStyle w:val="Normal"/>
        <w:spacing w:lineRule="auto" w:line="240" w:before="12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/>
        <w:ind w:hanging="0" w:left="0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6.2</w:t>
        <w:tab/>
        <w:t>Wymagania odnośnie pakowania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Naboje powinny być umieszczone w plastikowych „koszyczkach” o pojemności nie większej niż 50 sztuk, po czym zapakowane do pudełek tekturowych, na których muszą być umieszczone co najmniej: oznaczenie producenta amunicji, kaliber, typ pocisku, ilość sztuk, rok produkcji oraz numer partii produkcyjnej. Pudełka zabezpieczone hermetycznym opakowaniem zbiorczym zawierającym naniesione w sposób trwały dane o produkcie, tj. producenta amunicji, kaliber, typ pocisku, nr partii, rok produkcji, ilość sztuk. Całość umieszczona w opakowaniu zbiorczym (np. drewnianych skrzynkach, opakowaniach metalowych lub kartonach) o pojemności nie większej niż 1.000 – 3.000 sztuk. Na opakowaniu umieszczona etykieta zbiorcza zawierająca: oznaczenie producenta amunicji, kaliber, typ pocisku, ilości sztuk, roku produkcji oraz numer partii produkcyjnej.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Naboje w opakowaniu powinny być bezpieczne i nie powinny tracić właściwości użytkowych podczas przechowywania w magazynach oraz transporcie.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3600" w:leader="none"/>
        </w:tabs>
        <w:spacing w:lineRule="auto" w:line="240"/>
        <w:ind w:hanging="567"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GWARANCJA WYKONAWCY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 ile umowa nie określa inaczej, na wyprodukowane wyroby Wykonawca udzieli gwarancji </w:t>
        <w:br/>
        <w:t>na okres minimum 60 miesięcy od dnia podpisania protokołu odbioru.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/>
        <w:ind w:hanging="0" w:left="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3600" w:leader="none"/>
        </w:tabs>
        <w:spacing w:lineRule="auto" w:line="240"/>
        <w:ind w:hanging="567"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BADANIA ODBIORCZE</w:t>
      </w:r>
    </w:p>
    <w:p>
      <w:pPr>
        <w:pStyle w:val="ListParagraph"/>
        <w:tabs>
          <w:tab w:val="clear" w:pos="708"/>
          <w:tab w:val="left" w:pos="567" w:leader="none"/>
          <w:tab w:val="left" w:pos="3600" w:leader="none"/>
        </w:tabs>
        <w:spacing w:lineRule="auto" w:line="24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/>
        <w:ind w:hanging="567" w:left="567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8.1</w:t>
        <w:tab/>
        <w:t>Informacje podstawowe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Badania odbiorcze przeprowadza się w celu sprawdzenia zgodności wykonania wyrobu </w:t>
        <w:br/>
        <w:t>z wymaganiami Specyfikacji Technicznej. Podstawą odbioru partii produkcyjnej jest spełnienie wymagań zawartych w niniejszej Specyfikacji Technicznej.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/>
        <w:ind w:hanging="567" w:left="567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8.2</w:t>
        <w:tab/>
        <w:t>Zakres badań odbiorczych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Badania odbiorcze obejmują sprawdzenie zgodności dostarczanych wyrobów z wymaganymi parametrami naboju, opisanymi w pkt 5.2 Tabela nr 1 – Lp. 1, 2, 7, 8 niniejszej Specyfikacji Technicznej. Ww. parametry naboju należy potwierdzić wynikami badań z akredytowanego laboratorium dla trzech losowo wybranych partii produkcyjnych. Dopuszcza się również potwierdzenie ww. parametrów wynikami badań producenta dla każdej dostarczanej partii produkcyjnej.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/>
        <w:ind w:hanging="0" w:left="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/>
        <w:ind w:hanging="567" w:left="567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8.3</w:t>
        <w:tab/>
        <w:t>Wyniki badań odbiorczych</w:t>
      </w:r>
    </w:p>
    <w:p>
      <w:pPr>
        <w:pStyle w:val="Normal"/>
        <w:spacing w:lineRule="auto" w:line="240" w:before="12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Dostawę wyrobu uznaje się za pozytywną, jeśli spełnia wszystkie wymagania pkt 8.2 Specyfikacji Technicznej. Jeżeli wynik badania jest negatywny, choćby dla jednej z wybranej losowo partii produkcyjnej, to dostawę uznaje się za odrzuconą. Dopuszcza się powtórne badania odbiorcze, które przeprowadza się dla całej dostawy (dla wszystkich partii) </w:t>
        <w:br/>
        <w:t>z pominięciem partii produkcyjnych, które uzyskały wynik pozytywny.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/>
        <w:ind w:hanging="0" w:left="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40"/>
        <w:ind w:hanging="567" w:left="567"/>
        <w:jc w:val="both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8.4</w:t>
        <w:tab/>
        <w:t>Postępowanie z partią negatywną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120" w:after="0"/>
        <w:ind w:hanging="426" w:left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przypadku stwierdzenia niezgodności, przeprowadza się powtórne badanie </w:t>
        <w:br/>
        <w:t>na podwójnej ilości amunicji. Jeśli w wyniku badań powtórnych potwierdzono zgodność ze Specyfikacją Techniczną, badania odbiorcze kończą się wynikiem pozytywnym.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26" w:leader="none"/>
        </w:tabs>
        <w:spacing w:lineRule="auto" w:line="240" w:before="120" w:after="0"/>
        <w:ind w:hanging="426" w:left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Jeśli w wyniku badań powtórnych stwierdzono choć jeden przypadek niezgodności </w:t>
        <w:br/>
        <w:t xml:space="preserve">ze Specyfikacją Techniczną, całą partię produkcyjną wyrobów zwraca się do Dostawcy. Po usunięciu niezgodności badania odbiorcze przeprowadza się na zasadach opisanych </w:t>
        <w:br/>
        <w:t>w pkt 8.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  <w:tab w:val="left" w:pos="3600" w:leader="none"/>
        </w:tabs>
        <w:spacing w:lineRule="auto" w:line="240"/>
        <w:ind w:hanging="567"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WYMAGANE DOKUMENTY POTWIERDZAJĄCE SPEŁNIENIE WYMAGAŃ SPECYFIKACJI TECHNICZNEJ</w:t>
      </w:r>
    </w:p>
    <w:p>
      <w:pPr>
        <w:pStyle w:val="ListParagraph"/>
        <w:tabs>
          <w:tab w:val="clear" w:pos="708"/>
          <w:tab w:val="left" w:pos="567" w:leader="none"/>
          <w:tab w:val="left" w:pos="3600" w:leader="none"/>
        </w:tabs>
        <w:spacing w:lineRule="auto" w:line="24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/>
        <w:ind w:hanging="0" w:left="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celu potwierdzenia spełnienia przez wyrób zapisów niniejszej Specyfikacji Technicznej należy przedstawić następujące dokumenty: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40" w:before="120" w:after="0"/>
        <w:ind w:hanging="425" w:left="425"/>
        <w:contextualSpacing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Certyfikat zgodności z niniejszą specyfikacją dla danej partii lub produkcji seryjnej wyrobu wydany przez akredytowaną jednostkę certyfikującą dla wymagań określonych </w:t>
        <w:br/>
        <w:t>w punktach 5.1, 5.2, 5.3.1, 5.3.2., 5.4.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40" w:before="120" w:after="0"/>
        <w:ind w:hanging="425" w:left="425"/>
        <w:contextualSpacing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Wyniki badań odbiorczych, potwierdzające spełnienie wymagań zawartych w pkt 8.2 </w:t>
        <w:br/>
        <w:t>dla dostarczanych partii wyrobów.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40" w:before="120" w:after="0"/>
        <w:ind w:hanging="425" w:left="425"/>
        <w:contextualSpacing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Deklaracje zgodności OiB, zgodnie z art. 11 Ustawy z dnia 17 listopada 2006 r. o systemie oceny zgodności wyrobów przeznaczonych na potrzeby obronności i bezpieczeństwa państwa (Dz.U. Nr 235, poz. 1700 z późn. zm.).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426" w:leader="none"/>
        </w:tabs>
        <w:spacing w:lineRule="auto" w:line="240" w:before="120" w:after="0"/>
        <w:ind w:hanging="425" w:left="425"/>
        <w:contextualSpacing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Gwarancje Dostawcy.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 w:before="120" w:after="0"/>
        <w:ind w:hanging="0" w:left="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 w:before="120" w:after="0"/>
        <w:ind w:hanging="0" w:left="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 w:before="120" w:after="0"/>
        <w:ind w:hanging="0" w:left="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 w:before="120" w:after="0"/>
        <w:ind w:hanging="0" w:left="0"/>
        <w:jc w:val="both"/>
        <w:outlineLvl w:val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 w:before="120" w:after="0"/>
        <w:ind w:hanging="0" w:left="0"/>
        <w:jc w:val="center"/>
        <w:outlineLvl w:val="2"/>
        <w:rPr>
          <w:rFonts w:ascii="Times New Roman" w:hAnsi="Times New Roman" w:eastAsia="Times New Roman" w:cs="Times New Roman"/>
          <w:b/>
          <w:bCs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Uwaga: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 w:before="120" w:after="0"/>
        <w:ind w:hanging="0" w:left="0"/>
        <w:jc w:val="both"/>
        <w:outlineLvl w:val="2"/>
        <w:rPr>
          <w:rFonts w:ascii="Times New Roman" w:hAnsi="Times New Roman" w:eastAsia="Times New Roman" w:cs="Times New Roman"/>
          <w:b/>
          <w:bCs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W przypadku zastąpienia lub wycofania norm przywołanych w Specyfikacji Technicznej, dopuszcza się stosowanie dokumentów normatywnych je zastępujących.</w:t>
      </w:r>
    </w:p>
    <w:sectPr>
      <w:type w:val="nextPage"/>
      <w:pgSz w:w="11906" w:h="16838"/>
      <w:pgMar w:left="1417" w:right="1417" w:gutter="0" w:header="0" w:top="1276" w:footer="0" w:bottom="12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60f85"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7" w:customStyle="1">
    <w:name w:val="Body text (7)_"/>
    <w:link w:val="Bodytext71"/>
    <w:qFormat/>
    <w:locked/>
    <w:rsid w:val="00060f85"/>
    <w:rPr>
      <w:rFonts w:ascii="Arial" w:hAnsi="Arial"/>
      <w:sz w:val="23"/>
      <w:szCs w:val="23"/>
      <w:shd w:fill="FFFFFF" w:val="clear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03491"/>
    <w:rPr>
      <w:rFonts w:ascii="Segoe UI" w:hAnsi="Segoe UI" w:eastAsia="Calibri" w:cs="Segoe UI"/>
      <w:sz w:val="18"/>
      <w:szCs w:val="18"/>
      <w:lang w:eastAsia="ar-SA"/>
    </w:rPr>
  </w:style>
  <w:style w:type="character" w:styleId="Hyperlink">
    <w:name w:val="Hyperlink"/>
    <w:uiPriority w:val="99"/>
    <w:unhideWhenUsed/>
    <w:rsid w:val="00a422e8"/>
    <w:rPr>
      <w:color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71" w:customStyle="1">
    <w:name w:val="Body text (7)"/>
    <w:basedOn w:val="Normal"/>
    <w:link w:val="Bodytext7"/>
    <w:qFormat/>
    <w:rsid w:val="00060f85"/>
    <w:pPr>
      <w:shd w:val="clear" w:color="auto" w:fill="FFFFFF"/>
      <w:suppressAutoHyphens w:val="false"/>
      <w:spacing w:lineRule="exact" w:line="266" w:before="240" w:after="240"/>
      <w:ind w:hanging="580"/>
      <w:jc w:val="both"/>
    </w:pPr>
    <w:rPr>
      <w:rFonts w:ascii="Arial" w:hAnsi="Arial" w:eastAsia="Calibri" w:cs="" w:cstheme="minorBidi" w:eastAsiaTheme="minorHAnsi"/>
      <w:sz w:val="23"/>
      <w:szCs w:val="23"/>
      <w:lang w:eastAsia="en-US"/>
    </w:rPr>
  </w:style>
  <w:style w:type="paragraph" w:styleId="ListParagraph">
    <w:name w:val="List Paragraph"/>
    <w:basedOn w:val="Normal"/>
    <w:uiPriority w:val="34"/>
    <w:qFormat/>
    <w:rsid w:val="00155a99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3491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8f7763"/>
    <w:pPr>
      <w:widowControl w:val="false"/>
      <w:suppressAutoHyphens w:val="false"/>
      <w:spacing w:lineRule="atLeast" w:line="360" w:before="100" w:after="100"/>
      <w:jc w:val="both"/>
    </w:pPr>
    <w:rPr>
      <w:rFonts w:ascii="Times New Roman" w:hAnsi="Times New Roman" w:eastAsia="Times New Roman" w:cs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60f85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Application>LibreOffice/7.6.4.1$Windows_X86_64 LibreOffice_project/e19e193f88cd6c0525a17fb7a176ed8e6a3e2aa1</Application>
  <AppVersion>15.0000</AppVersion>
  <Pages>5</Pages>
  <Words>1107</Words>
  <Characters>7234</Characters>
  <CharactersWithSpaces>8196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2023-04-18T12:47:00Z</dcterms:created>
  <dc:creator>Tomasz Jedynak</dc:creator>
  <dc:description/>
  <dc:language>pl-PL</dc:language>
  <cp:lastModifiedBy/>
  <cp:lastPrinted>2025-03-14T11:22:43Z</cp:lastPrinted>
  <dcterms:modified xsi:type="dcterms:W3CDTF">2025-03-14T11:23:08Z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