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</w:t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OPIS PRZEDMIOTU ZAMÓWIENIA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I.</w:t>
        <w:tab/>
        <w:t>CHARAKTERYSTYKA WYBORU I PRZEZNACZENIE.</w:t>
      </w:r>
    </w:p>
    <w:p>
      <w:pPr>
        <w:pStyle w:val="Normal"/>
        <w:ind w:left="70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Przedmiotem zakupu jest przyczepa do przewozu dwóch koni wraz z osprzętem.</w:t>
      </w:r>
    </w:p>
    <w:p>
      <w:pPr>
        <w:pStyle w:val="Normal"/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II.</w:t>
        <w:tab/>
        <w:t>OPIS PRZEDMIOTU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Przyczepa dwuosiowa, o ładowności nie mniejszej niż 1500 kg.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Dopuszczalna masa całkowita 2500  - 3000 kg.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Liczba przewożonych koni – 2.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Minimalne wymiary wewnętrzne, nie mniejsze niż: 3550 dł./ 1750 szer./ 2350 wys.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Rama i dyszel przyczepy typu V stalowa, ocynkowana ogniow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bookmarkStart w:id="1" w:name="_Hlk207878420"/>
      <w:r>
        <w:rPr>
          <w:rFonts w:cs="Arial" w:ascii="Arial" w:hAnsi="Arial"/>
          <w:sz w:val="20"/>
          <w:szCs w:val="20"/>
        </w:rPr>
        <w:t>Podwozie obniżone „rama podłużnicowa”, dwie osie na wahaczach, niezależne zawieszenie , amortyzatory.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Koła na felgach stalowych.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Automatyczne koło podporowe.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Koło zapasowe z kluczem do odkręcania kół i podno</w:t>
      </w:r>
      <w:r>
        <w:rPr>
          <w:rFonts w:cs="Arial" w:ascii="Arial" w:hAnsi="Arial"/>
          <w:sz w:val="20"/>
          <w:szCs w:val="20"/>
        </w:rPr>
        <w:t>ś</w:t>
      </w:r>
      <w:r>
        <w:rPr>
          <w:rFonts w:cs="Arial" w:ascii="Arial" w:hAnsi="Arial"/>
          <w:sz w:val="20"/>
          <w:szCs w:val="20"/>
        </w:rPr>
        <w:t>nikiem.</w:t>
      </w:r>
      <w:bookmarkEnd w:id="1"/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Ściany boczne wykonane z aluminium, dach wykonany z laminatu.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Dwa otwierane okna, przyciemniane po jednym z każdej ze stron w przedniej części przyczepy, wywietrznik w dachu.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Roleta samozwijalna  w kolorze czarnym ze zintegrowaną siatką.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Rampa ryglowana wyłożona wykładziną zapobiegającą ślizganiu się kopyt końskich 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Wspomaganie podnoszenia rampy siłownikami gazowymi.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Belka zewnętrzna do przywiązywania koni z prawej i lewej strony przyczepy.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Przedział do przewozu koni musi być wyposażony w :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- po</w:t>
      </w:r>
      <w:r>
        <w:rPr>
          <w:rFonts w:cs="Arial" w:ascii="Arial" w:hAnsi="Arial"/>
          <w:sz w:val="20"/>
          <w:szCs w:val="20"/>
        </w:rPr>
        <w:t>dłogę wykonaną z aluminium, zabezpieczoną wykładziną gumową min. 8 mm                        z uszczelnieniem pomiędzy podłogą a ścianami,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 poduszki boczne na wewnętrznych ścianach bocznych przyczepy,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 ochronę przed kopnięciem bocznym  w postaci przegrody z przezroczystego PCV oraz wyściełany pasek piersiowy,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dwa żłoby,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wewnętrzne oświetlenie LED z przełącznikiem niebieskie / białe,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uchwyty do wiązania konia wewnątrz przedziału.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Siodlarnia z dostępem z zewnątrz przyczepy (drzwi boczne od przodu przyczepy                       z zamkiem).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Gumowa mata bezpieczeństwa wraz z bieżnikami zabezpieczającymi dodatkowo na ścianie działowej do siodlarni.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Przestrzeń robocza (siodlarnia) musibyć wyposażona w :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oświetlenie wewnętrzne  ( dwa światła LED),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rozsuwany wieszak na dwa siodła 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uchwyt na bat jeździecki,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miotła z trzonkiem teleskopowym,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łopata plastikowa,</w:t>
      </w:r>
    </w:p>
    <w:p>
      <w:pPr>
        <w:pStyle w:val="ListParagraph"/>
        <w:spacing w:lineRule="auto" w:line="360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jeden klucz do wszystkich zamków.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Wykonawca przedstawi propozycję dostępnych stonowanych kolorów lakierów z oficjalnej oferty handlowej producenta/importera pojazdu. Zamawiający dokona wyboru koloru lakieru spośród zaoferowanych przez Wykonawcę </w:t>
      </w:r>
      <w:r>
        <w:rPr>
          <w:rFonts w:cs="Arial" w:ascii="Arial" w:hAnsi="Arial"/>
          <w:bCs/>
          <w:iCs/>
          <w:sz w:val="20"/>
          <w:szCs w:val="20"/>
        </w:rPr>
        <w:t>na etapie podpisywania umowy.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 w:before="0" w:after="0"/>
        <w:ind w:hanging="357" w:left="1066"/>
        <w:contextualSpacing w:val="false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Pojazd musi posiadać homologację wystawioną zgodnie z Ustawą z dnia 20 czerwca 1997 r. Prawo o ruchu drogowym lub Rozporządzeniem Parlamentu Europejskiego i Rady (UE) 2018/858/WE z dnia 30 maja 2018 r. </w:t>
      </w:r>
      <w:r>
        <w:rPr>
          <w:rFonts w:cs="Arial" w:ascii="Arial" w:hAnsi="Arial"/>
          <w:bCs/>
          <w:sz w:val="20"/>
          <w:szCs w:val="20"/>
        </w:rPr>
        <w:t xml:space="preserve">w sprawie homologacji i nadzoru rynku pojazdów silnikowych i ich przyczep oraz układów, komponentów i oddzielnych zespołów technicznych przeznaczonych do tych pojazdów, zmieniającym rozporządzenie (WE) nr 715/2007 </w:t>
      </w:r>
      <w:r>
        <w:rPr>
          <w:rFonts w:cs="Arial" w:ascii="Arial" w:hAnsi="Arial"/>
          <w:bCs/>
          <w:i/>
          <w:iCs/>
          <w:sz w:val="20"/>
          <w:szCs w:val="20"/>
        </w:rPr>
        <w:t xml:space="preserve">i </w:t>
      </w:r>
      <w:r>
        <w:rPr>
          <w:rFonts w:cs="Arial" w:ascii="Arial" w:hAnsi="Arial"/>
          <w:bCs/>
          <w:sz w:val="20"/>
          <w:szCs w:val="20"/>
        </w:rPr>
        <w:t xml:space="preserve">(WE) nr 595/2009 oraz uchylającym dyrektywę 2007/46/WE. </w:t>
      </w:r>
      <w:r>
        <w:rPr>
          <w:rFonts w:cs="Arial" w:ascii="Arial" w:hAnsi="Arial"/>
          <w:b/>
          <w:i/>
          <w:color w:themeColor="text1" w:val="000000"/>
          <w:sz w:val="20"/>
          <w:szCs w:val="20"/>
        </w:rPr>
        <w:t>Dokument potwierdzający spełnienie wymogu (świadectwo zgodności WE pojazdu) musi być przedstawiony przez Wykonawcę w fazie odbioru przedmiotu zamówienia 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 w:before="0" w:after="0"/>
        <w:ind w:hanging="357" w:left="1066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Przyczepa do przewozu koni musi być objęta gwarancją na okres nie krótszy niż 24 miesiące liczony od daty odbioru przez Zamawiającego. Gwarancji muszą podlegać wszystkie zespoły i podzespoły bez wyłączeń, z wyjątkiem materiałów eksploatacyjnych.  Za materiały eksploatacyjne uważa się elementy wymieniane podczas okresowych przeglądów technicznych.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 w:before="0" w:after="0"/>
        <w:ind w:hanging="357" w:left="1066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  <w:t>Książka gwarancyjna .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360" w:before="0" w:after="0"/>
        <w:ind w:hanging="357" w:left="1066"/>
        <w:contextualSpacing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Dokumenty niezbędne do rejestracji przyczepy.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378f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378f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378fe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378f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378fe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378fe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378f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378fe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378fe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378f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2Znak" w:customStyle="1">
    <w:name w:val="Nagłówek 2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Nagwek3Znak" w:customStyle="1">
    <w:name w:val="Nagłówek 3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Nagwek4Znak" w:customStyle="1">
    <w:name w:val="Nagłówek 4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Nagwek5Znak" w:customStyle="1">
    <w:name w:val="Nagłówek 5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character" w:styleId="Nagwek6Znak" w:customStyle="1">
    <w:name w:val="Nagłówek 6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Nagwek7Znak" w:customStyle="1">
    <w:name w:val="Nagłówek 7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character" w:styleId="Nagwek8Znak" w:customStyle="1">
    <w:name w:val="Nagłówek 8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Nagwek9Znak" w:customStyle="1">
    <w:name w:val="Nagłówek 9 Znak"/>
    <w:basedOn w:val="DefaultParagraphFont"/>
    <w:uiPriority w:val="9"/>
    <w:semiHidden/>
    <w:qFormat/>
    <w:rsid w:val="007378fe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06c3f"/>
    <w:rPr>
      <w:rFonts w:ascii="Segoe UI" w:hAnsi="Segoe UI" w:cs="Segoe UI"/>
      <w:sz w:val="18"/>
      <w:szCs w:val="18"/>
    </w:rPr>
  </w:style>
  <w:style w:type="character" w:styleId="WW8Num1z0" w:customStyle="1">
    <w:name w:val="WW8Num1z0"/>
    <w:qFormat/>
    <w:rsid w:val="00533276"/>
    <w:rPr/>
  </w:style>
  <w:style w:type="character" w:styleId="TekstpodstawowywcityZnak" w:customStyle="1">
    <w:name w:val="Tekst podstawowy wcięty Znak"/>
    <w:basedOn w:val="DefaultParagraphFont"/>
    <w:qFormat/>
    <w:rsid w:val="007459eb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7378fe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6c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TekstpodstawowywcityZnak"/>
    <w:rsid w:val="007459eb"/>
    <w:pPr>
      <w:suppressAutoHyphens w:val="true"/>
      <w:spacing w:lineRule="auto" w:line="36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LibreOffice/7.6.4.1$Windows_X86_64 LibreOffice_project/e19e193f88cd6c0525a17fb7a176ed8e6a3e2aa1</Application>
  <AppVersion>15.0000</AppVersion>
  <Pages>2</Pages>
  <Words>477</Words>
  <Characters>2936</Characters>
  <CharactersWithSpaces>3403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2022-06-15T11:09:00Z</dcterms:created>
  <dc:creator>Renata Madalińska</dc:creator>
  <dc:description/>
  <dc:language>pl-PL</dc:language>
  <cp:lastModifiedBy/>
  <cp:lastPrinted>2025-09-05T06:20:00Z</cp:lastPrinted>
  <dcterms:modified xsi:type="dcterms:W3CDTF">2025-09-05T10:32:45Z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