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20151" w14:textId="144754AF" w:rsidR="00B36FD7" w:rsidRDefault="00035F9A" w:rsidP="000220DA">
      <w:pPr>
        <w:pStyle w:val="Standard"/>
        <w:jc w:val="right"/>
        <w:rPr>
          <w:rFonts w:eastAsia="Andale Sans UI" w:cs="Times New Roman"/>
          <w:b/>
          <w:bCs/>
          <w:color w:val="000000"/>
          <w:sz w:val="22"/>
          <w:szCs w:val="22"/>
        </w:rPr>
      </w:pPr>
      <w:r>
        <w:rPr>
          <w:rFonts w:eastAsia="Andale Sans UI" w:cs="Times New Roman"/>
          <w:b/>
          <w:bCs/>
          <w:color w:val="000000"/>
          <w:sz w:val="22"/>
          <w:szCs w:val="22"/>
        </w:rPr>
        <w:t>Załącznik nr 2.</w:t>
      </w:r>
      <w:r w:rsidR="004A7279">
        <w:rPr>
          <w:rFonts w:eastAsia="Andale Sans UI" w:cs="Times New Roman"/>
          <w:b/>
          <w:bCs/>
          <w:color w:val="000000"/>
          <w:sz w:val="22"/>
          <w:szCs w:val="22"/>
        </w:rPr>
        <w:t>1</w:t>
      </w:r>
      <w:r w:rsidR="001F4DF6">
        <w:rPr>
          <w:rFonts w:eastAsia="Andale Sans UI" w:cs="Times New Roman"/>
          <w:b/>
          <w:bCs/>
          <w:color w:val="000000"/>
          <w:sz w:val="22"/>
          <w:szCs w:val="22"/>
        </w:rPr>
        <w:t xml:space="preserve"> do zaproszenia</w:t>
      </w:r>
      <w:bookmarkStart w:id="0" w:name="_GoBack"/>
      <w:bookmarkEnd w:id="0"/>
    </w:p>
    <w:p w14:paraId="5F91C5E9" w14:textId="77777777" w:rsidR="000220DA" w:rsidRDefault="000220DA" w:rsidP="000220DA">
      <w:pPr>
        <w:pStyle w:val="Standard"/>
        <w:jc w:val="right"/>
        <w:rPr>
          <w:rFonts w:eastAsia="Andale Sans UI" w:cs="Times New Roman"/>
          <w:b/>
          <w:bCs/>
          <w:color w:val="000000"/>
          <w:sz w:val="22"/>
          <w:szCs w:val="22"/>
        </w:rPr>
      </w:pPr>
    </w:p>
    <w:p w14:paraId="3711553A" w14:textId="77777777" w:rsidR="000220DA" w:rsidRPr="000220DA" w:rsidRDefault="000220DA" w:rsidP="000220DA">
      <w:pPr>
        <w:pStyle w:val="Standard"/>
        <w:jc w:val="right"/>
        <w:rPr>
          <w:rFonts w:eastAsia="Andale Sans UI" w:cs="Times New Roman"/>
          <w:b/>
          <w:bCs/>
          <w:color w:val="000000"/>
          <w:sz w:val="22"/>
          <w:szCs w:val="22"/>
        </w:rPr>
      </w:pPr>
    </w:p>
    <w:p w14:paraId="2219485C" w14:textId="77777777" w:rsidR="00B36FD7" w:rsidRDefault="005A51CB">
      <w:pPr>
        <w:pStyle w:val="Standard"/>
        <w:jc w:val="center"/>
        <w:rPr>
          <w:rFonts w:eastAsia="Andale Sans UI" w:cs="Times New Roman"/>
          <w:b/>
          <w:bCs/>
          <w:color w:val="000000"/>
        </w:rPr>
      </w:pPr>
      <w:r>
        <w:rPr>
          <w:rFonts w:eastAsia="Andale Sans UI" w:cs="Times New Roman"/>
          <w:b/>
          <w:bCs/>
          <w:color w:val="000000"/>
        </w:rPr>
        <w:t>Dostawa komputerów biurkowych</w:t>
      </w:r>
    </w:p>
    <w:p w14:paraId="3EF9B349" w14:textId="77777777" w:rsidR="00B36FD7" w:rsidRDefault="00B36FD7">
      <w:pPr>
        <w:pStyle w:val="Standard"/>
        <w:jc w:val="both"/>
        <w:rPr>
          <w:rFonts w:cs="Times New Roman"/>
          <w:b/>
          <w:color w:val="000000"/>
          <w:u w:val="single"/>
        </w:rPr>
      </w:pPr>
    </w:p>
    <w:p w14:paraId="0C5FC466" w14:textId="77777777" w:rsidR="00B36FD7" w:rsidRDefault="005A51CB">
      <w:pPr>
        <w:pStyle w:val="Standard"/>
        <w:spacing w:line="360" w:lineRule="auto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Opis kryteriów, którymi Zamawiający będzie się kierował przy wyborze oferty</w:t>
      </w:r>
      <w:r>
        <w:rPr>
          <w:rFonts w:cs="Times New Roman"/>
          <w:b/>
          <w:color w:val="000000"/>
        </w:rPr>
        <w:br/>
        <w:t>wraz z podaniem sposobu oceny ofert.</w:t>
      </w:r>
    </w:p>
    <w:p w14:paraId="50FE3E77" w14:textId="77777777" w:rsidR="00B36FD7" w:rsidRDefault="00B36FD7">
      <w:pPr>
        <w:pStyle w:val="Standard"/>
        <w:shd w:val="clear" w:color="auto" w:fill="FFFFFF"/>
        <w:spacing w:line="360" w:lineRule="auto"/>
        <w:jc w:val="both"/>
        <w:rPr>
          <w:rFonts w:eastAsia="Times New Roman" w:cs="Times New Roman"/>
          <w:sz w:val="22"/>
          <w:szCs w:val="22"/>
        </w:rPr>
      </w:pPr>
    </w:p>
    <w:p w14:paraId="44AF4B06" w14:textId="77777777" w:rsidR="00B36FD7" w:rsidRDefault="005A51CB">
      <w:pPr>
        <w:pStyle w:val="Standard"/>
        <w:shd w:val="clear" w:color="auto" w:fill="FFFFFF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Przy dokonywaniu wyboru najkorzystniejszej oferty Zamawiający stosować będzie następujące kryteria oceny ofert:</w:t>
      </w:r>
    </w:p>
    <w:p w14:paraId="13DDFF52" w14:textId="77777777" w:rsidR="00B36FD7" w:rsidRDefault="00B36FD7">
      <w:pPr>
        <w:pStyle w:val="Standard"/>
        <w:rPr>
          <w:rFonts w:cs="Times New Roman"/>
          <w:b/>
          <w:color w:val="000000"/>
          <w:sz w:val="22"/>
        </w:rPr>
      </w:pPr>
    </w:p>
    <w:tbl>
      <w:tblPr>
        <w:tblW w:w="968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3952"/>
        <w:gridCol w:w="955"/>
        <w:gridCol w:w="2227"/>
      </w:tblGrid>
      <w:tr w:rsidR="00B36FD7" w14:paraId="0527C443" w14:textId="77777777"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8B3F9" w14:textId="77777777" w:rsidR="00B36FD7" w:rsidRDefault="005A51CB">
            <w:pPr>
              <w:pStyle w:val="Standard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Nazwa kryterium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D205C" w14:textId="77777777" w:rsidR="00B36FD7" w:rsidRDefault="005A51CB">
            <w:pPr>
              <w:pStyle w:val="Standard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Kryteria przyznawania punktów</w:t>
            </w:r>
          </w:p>
        </w:tc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F5F83" w14:textId="77777777" w:rsidR="00B36FD7" w:rsidRDefault="005A51CB">
            <w:pPr>
              <w:pStyle w:val="Standard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Waga</w:t>
            </w: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FE242" w14:textId="77777777" w:rsidR="00B36FD7" w:rsidRDefault="005A51CB">
            <w:pPr>
              <w:pStyle w:val="Standard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Sposób oceny</w:t>
            </w:r>
          </w:p>
        </w:tc>
      </w:tr>
      <w:tr w:rsidR="00B36FD7" w14:paraId="568AE6C8" w14:textId="77777777"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1005A" w14:textId="77777777" w:rsidR="00B36FD7" w:rsidRDefault="005A51CB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75781" w14:textId="6E8024EA" w:rsidR="00B36FD7" w:rsidRDefault="005A51CB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Cena oferty brutto całości </w:t>
            </w:r>
            <w:r w:rsidR="00144B1B">
              <w:rPr>
                <w:rFonts w:cs="Times New Roman"/>
                <w:color w:val="000000"/>
              </w:rPr>
              <w:t xml:space="preserve">przedmiotu </w:t>
            </w:r>
            <w:r>
              <w:rPr>
                <w:rFonts w:cs="Times New Roman"/>
                <w:color w:val="000000"/>
              </w:rPr>
              <w:t>zamówienia</w:t>
            </w:r>
          </w:p>
        </w:tc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4F5C2" w14:textId="77777777" w:rsidR="00B36FD7" w:rsidRDefault="005A51CB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60</w:t>
            </w: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50419" w14:textId="77777777" w:rsidR="00B36FD7" w:rsidRDefault="005A51CB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Minimalizacja</w:t>
            </w:r>
          </w:p>
        </w:tc>
      </w:tr>
      <w:tr w:rsidR="00B36FD7" w14:paraId="5AAC13FB" w14:textId="77777777"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46D3C" w14:textId="77777777" w:rsidR="00B36FD7" w:rsidRDefault="005A51CB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F63D2" w14:textId="77777777" w:rsidR="00B36FD7" w:rsidRDefault="005A51CB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Okres gwarancji na całość przedmiotu zamówienia</w:t>
            </w:r>
          </w:p>
        </w:tc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56500" w14:textId="3C3FD91C" w:rsidR="00B36FD7" w:rsidRDefault="005776DB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36</w:t>
            </w: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098A0" w14:textId="77777777" w:rsidR="00B36FD7" w:rsidRDefault="005A51CB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Wg opisu</w:t>
            </w:r>
          </w:p>
        </w:tc>
      </w:tr>
      <w:tr w:rsidR="00B36FD7" w14:paraId="430C63A9" w14:textId="77777777">
        <w:tc>
          <w:tcPr>
            <w:tcW w:w="25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76691" w14:textId="77777777" w:rsidR="00B36FD7" w:rsidRDefault="005A51CB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K3</w:t>
            </w:r>
          </w:p>
        </w:tc>
        <w:tc>
          <w:tcPr>
            <w:tcW w:w="3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68F1B" w14:textId="53C64274" w:rsidR="00B36FD7" w:rsidRDefault="005A51CB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Wielkość pam</w:t>
            </w:r>
            <w:r w:rsidR="00144B1B">
              <w:rPr>
                <w:rFonts w:cs="Times New Roman"/>
                <w:color w:val="000000"/>
              </w:rPr>
              <w:t>ięci RAM komputera biurkowego</w:t>
            </w:r>
          </w:p>
        </w:tc>
        <w:tc>
          <w:tcPr>
            <w:tcW w:w="9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CF51F" w14:textId="77777777" w:rsidR="00B36FD7" w:rsidRDefault="005A51CB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22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478D5" w14:textId="77777777" w:rsidR="00B36FD7" w:rsidRDefault="005A51CB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Maksymalizacja</w:t>
            </w:r>
          </w:p>
        </w:tc>
      </w:tr>
    </w:tbl>
    <w:p w14:paraId="2AD63000" w14:textId="77777777" w:rsidR="00B36FD7" w:rsidRDefault="00B36FD7">
      <w:pPr>
        <w:pStyle w:val="Standard"/>
        <w:rPr>
          <w:rFonts w:cs="Times New Roman"/>
          <w:b/>
          <w:color w:val="000000"/>
          <w:sz w:val="22"/>
        </w:rPr>
      </w:pPr>
    </w:p>
    <w:p w14:paraId="75FC3262" w14:textId="77777777" w:rsidR="00B36FD7" w:rsidRDefault="005A51CB">
      <w:pPr>
        <w:pStyle w:val="BodyText21"/>
        <w:tabs>
          <w:tab w:val="left" w:pos="316"/>
        </w:tabs>
        <w:ind w:left="-10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Sposób obliczenia punktów w odniesieniu do kryterium K1 – cena oferty brutto całości zamówienia:</w:t>
      </w:r>
    </w:p>
    <w:p w14:paraId="6725D741" w14:textId="77777777" w:rsidR="00B36FD7" w:rsidRDefault="00B36FD7">
      <w:pPr>
        <w:pStyle w:val="BodyText21"/>
        <w:tabs>
          <w:tab w:val="left" w:pos="316"/>
        </w:tabs>
        <w:ind w:left="-10"/>
        <w:rPr>
          <w:rFonts w:cs="Times New Roman"/>
          <w:color w:val="000000"/>
          <w:sz w:val="22"/>
        </w:rPr>
      </w:pPr>
    </w:p>
    <w:p w14:paraId="31BFC9FB" w14:textId="77777777" w:rsidR="00B36FD7" w:rsidRDefault="005A51CB">
      <w:pPr>
        <w:pStyle w:val="BodyText21"/>
        <w:tabs>
          <w:tab w:val="left" w:pos="316"/>
        </w:tabs>
        <w:ind w:left="-10"/>
        <w:rPr>
          <w:rFonts w:cs="Times New Roman"/>
          <w:color w:val="000000"/>
        </w:rPr>
      </w:pPr>
      <w:r>
        <w:rPr>
          <w:rFonts w:cs="Times New Roman"/>
          <w:color w:val="000000"/>
        </w:rPr>
        <w:t>K1 – waga 60 % (maksymalnie Wykonawca może otrzymać 60 punktów)</w:t>
      </w:r>
    </w:p>
    <w:p w14:paraId="25B47535" w14:textId="77777777" w:rsidR="00B36FD7" w:rsidRDefault="00B36FD7">
      <w:pPr>
        <w:pStyle w:val="BodyText21"/>
        <w:tabs>
          <w:tab w:val="left" w:pos="316"/>
        </w:tabs>
        <w:ind w:left="-10"/>
        <w:rPr>
          <w:rFonts w:cs="Times New Roman"/>
          <w:color w:val="000000"/>
          <w:sz w:val="22"/>
        </w:rPr>
      </w:pPr>
    </w:p>
    <w:p w14:paraId="17012F9F" w14:textId="77777777" w:rsidR="00B36FD7" w:rsidRDefault="005A51CB">
      <w:pPr>
        <w:pStyle w:val="BodyText21"/>
        <w:tabs>
          <w:tab w:val="left" w:pos="316"/>
        </w:tabs>
        <w:ind w:left="-10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K1=60×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oferty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pkt</m:t>
          </m:r>
        </m:oMath>
      </m:oMathPara>
    </w:p>
    <w:p w14:paraId="238CB789" w14:textId="77777777" w:rsidR="00B36FD7" w:rsidRDefault="00B36FD7">
      <w:pPr>
        <w:pStyle w:val="BodyText21"/>
        <w:tabs>
          <w:tab w:val="left" w:pos="316"/>
        </w:tabs>
        <w:ind w:left="-10"/>
        <w:rPr>
          <w:rFonts w:cs="Times New Roman"/>
        </w:rPr>
      </w:pPr>
    </w:p>
    <w:p w14:paraId="6869D543" w14:textId="77777777" w:rsidR="00B36FD7" w:rsidRDefault="005A51CB">
      <w:pPr>
        <w:pStyle w:val="Standard"/>
        <w:tabs>
          <w:tab w:val="left" w:pos="710"/>
          <w:tab w:val="left" w:pos="994"/>
        </w:tabs>
        <w:ind w:left="355" w:hanging="336"/>
        <w:jc w:val="both"/>
        <w:rPr>
          <w:rFonts w:eastAsia="Andale Sans UI" w:cs="Times New Roman"/>
          <w:color w:val="000000"/>
        </w:rPr>
      </w:pPr>
      <w:r>
        <w:rPr>
          <w:rFonts w:eastAsia="Andale Sans UI" w:cs="Times New Roman"/>
          <w:color w:val="000000"/>
        </w:rPr>
        <w:t>gdzie:</w:t>
      </w:r>
    </w:p>
    <w:p w14:paraId="3F276B05" w14:textId="77777777" w:rsidR="00B36FD7" w:rsidRDefault="005A51CB">
      <w:pPr>
        <w:pStyle w:val="Standard"/>
        <w:tabs>
          <w:tab w:val="left" w:pos="710"/>
          <w:tab w:val="left" w:pos="994"/>
        </w:tabs>
        <w:ind w:left="355" w:hanging="336"/>
      </w:pPr>
      <w:r>
        <w:rPr>
          <w:rFonts w:eastAsia="Andale Sans UI" w:cs="Times New Roman"/>
          <w:i/>
          <w:iCs/>
          <w:color w:val="000000"/>
          <w:sz w:val="22"/>
          <w:szCs w:val="22"/>
        </w:rPr>
        <w:t xml:space="preserve">CG min – </w:t>
      </w:r>
      <w:r>
        <w:rPr>
          <w:rFonts w:eastAsia="Andale Sans UI" w:cs="Times New Roman"/>
          <w:color w:val="000000"/>
          <w:sz w:val="22"/>
          <w:szCs w:val="22"/>
        </w:rPr>
        <w:t xml:space="preserve">oznacza najniższą cenę </w:t>
      </w:r>
      <w:r>
        <w:rPr>
          <w:rFonts w:eastAsia="Andale Sans UI" w:cs="Times New Roman"/>
          <w:sz w:val="22"/>
          <w:szCs w:val="22"/>
        </w:rPr>
        <w:t>spośród badanych ofert</w:t>
      </w:r>
      <w:r>
        <w:rPr>
          <w:rFonts w:eastAsia="Andale Sans UI" w:cs="Times New Roman"/>
          <w:color w:val="000000"/>
          <w:sz w:val="22"/>
          <w:szCs w:val="22"/>
        </w:rPr>
        <w:t>,</w:t>
      </w:r>
    </w:p>
    <w:p w14:paraId="66416612" w14:textId="77777777" w:rsidR="00B36FD7" w:rsidRDefault="005A51CB">
      <w:pPr>
        <w:pStyle w:val="Standard"/>
        <w:tabs>
          <w:tab w:val="left" w:pos="710"/>
          <w:tab w:val="left" w:pos="994"/>
        </w:tabs>
        <w:ind w:left="355" w:hanging="336"/>
      </w:pPr>
      <w:r>
        <w:rPr>
          <w:rFonts w:eastAsia="Andale Sans UI" w:cs="Times New Roman"/>
          <w:i/>
          <w:iCs/>
          <w:color w:val="000000"/>
          <w:sz w:val="22"/>
          <w:szCs w:val="22"/>
        </w:rPr>
        <w:t>CG oferty</w:t>
      </w:r>
      <w:r>
        <w:rPr>
          <w:rFonts w:eastAsia="Andale Sans UI" w:cs="Times New Roman"/>
          <w:color w:val="000000"/>
          <w:sz w:val="22"/>
          <w:szCs w:val="22"/>
        </w:rPr>
        <w:t xml:space="preserve"> – oznacza cenę oferty badanej,</w:t>
      </w:r>
    </w:p>
    <w:p w14:paraId="75F5B6C6" w14:textId="77777777" w:rsidR="00B36FD7" w:rsidRDefault="00B36FD7">
      <w:pPr>
        <w:pStyle w:val="Standard"/>
        <w:tabs>
          <w:tab w:val="left" w:pos="38"/>
          <w:tab w:val="left" w:pos="322"/>
        </w:tabs>
        <w:ind w:left="19"/>
        <w:rPr>
          <w:rFonts w:cs="Times New Roman"/>
        </w:rPr>
      </w:pPr>
    </w:p>
    <w:p w14:paraId="6E71BBE5" w14:textId="77777777" w:rsidR="00B36FD7" w:rsidRDefault="00B36FD7">
      <w:pPr>
        <w:pStyle w:val="Standard"/>
        <w:tabs>
          <w:tab w:val="left" w:pos="1046"/>
        </w:tabs>
        <w:ind w:left="355" w:hanging="336"/>
        <w:jc w:val="both"/>
        <w:rPr>
          <w:rFonts w:cs="Times New Roman"/>
          <w:color w:val="000000"/>
          <w:sz w:val="22"/>
          <w:szCs w:val="22"/>
        </w:rPr>
      </w:pPr>
    </w:p>
    <w:p w14:paraId="1C4224AC" w14:textId="77777777" w:rsidR="00B36FD7" w:rsidRDefault="005A51CB">
      <w:pPr>
        <w:pStyle w:val="Standard"/>
        <w:tabs>
          <w:tab w:val="left" w:pos="691"/>
        </w:tabs>
        <w:spacing w:line="360" w:lineRule="auto"/>
        <w:ind w:firstLine="19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Sposób obliczenia punktów w odniesieniu do kryterium K2 – okres gwarancji na całość przedmiotu zamówienia</w:t>
      </w:r>
    </w:p>
    <w:p w14:paraId="3085A44A" w14:textId="77777777" w:rsidR="00B36FD7" w:rsidRDefault="00B36FD7">
      <w:pPr>
        <w:pStyle w:val="Standard"/>
        <w:tabs>
          <w:tab w:val="left" w:pos="1046"/>
        </w:tabs>
        <w:spacing w:line="360" w:lineRule="auto"/>
        <w:ind w:left="355" w:hanging="336"/>
        <w:jc w:val="both"/>
        <w:rPr>
          <w:rFonts w:cs="Times New Roman"/>
          <w:b/>
          <w:color w:val="000000"/>
        </w:rPr>
      </w:pPr>
    </w:p>
    <w:p w14:paraId="11FC8181" w14:textId="3263689C" w:rsidR="00B36FD7" w:rsidRDefault="00DF75C8">
      <w:pPr>
        <w:pStyle w:val="Standard"/>
        <w:tabs>
          <w:tab w:val="left" w:pos="1046"/>
        </w:tabs>
        <w:spacing w:line="360" w:lineRule="auto"/>
        <w:ind w:left="355" w:hanging="33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K2 – waga 36</w:t>
      </w:r>
      <w:r w:rsidR="005A51CB">
        <w:rPr>
          <w:rFonts w:cs="Times New Roman"/>
          <w:color w:val="000000"/>
        </w:rPr>
        <w:t xml:space="preserve"> % (maksym</w:t>
      </w:r>
      <w:r>
        <w:rPr>
          <w:rFonts w:cs="Times New Roman"/>
          <w:color w:val="000000"/>
        </w:rPr>
        <w:t>alnie Wykonawca może otrzymać 36</w:t>
      </w:r>
      <w:r w:rsidR="005A51CB">
        <w:rPr>
          <w:rFonts w:cs="Times New Roman"/>
          <w:color w:val="000000"/>
        </w:rPr>
        <w:t xml:space="preserve"> punktów)</w:t>
      </w:r>
    </w:p>
    <w:p w14:paraId="1F00E471" w14:textId="77777777" w:rsidR="00B36FD7" w:rsidRDefault="00B36FD7">
      <w:pPr>
        <w:pStyle w:val="Standard"/>
        <w:tabs>
          <w:tab w:val="left" w:pos="1046"/>
        </w:tabs>
        <w:spacing w:line="360" w:lineRule="auto"/>
        <w:ind w:left="355" w:hanging="336"/>
        <w:jc w:val="both"/>
        <w:rPr>
          <w:rFonts w:cs="Times New Roman"/>
          <w:color w:val="000000"/>
        </w:rPr>
      </w:pPr>
    </w:p>
    <w:p w14:paraId="00488DD5" w14:textId="77777777" w:rsidR="00B36FD7" w:rsidRDefault="005A51CB">
      <w:pPr>
        <w:pStyle w:val="Standard"/>
        <w:tabs>
          <w:tab w:val="left" w:pos="710"/>
          <w:tab w:val="left" w:pos="994"/>
        </w:tabs>
        <w:spacing w:line="360" w:lineRule="auto"/>
        <w:ind w:left="355" w:hanging="336"/>
        <w:jc w:val="both"/>
        <w:rPr>
          <w:rFonts w:eastAsia="Andale Sans UI" w:cs="Times New Roman"/>
          <w:color w:val="000000"/>
        </w:rPr>
      </w:pPr>
      <w:r>
        <w:rPr>
          <w:rFonts w:eastAsia="Andale Sans UI" w:cs="Times New Roman"/>
          <w:color w:val="000000"/>
        </w:rPr>
        <w:t>W kryterium K2 – okres gwarancji na całość przedmiotu zamówienia – punkty zostaną przydzielone następująco:</w:t>
      </w:r>
    </w:p>
    <w:p w14:paraId="7A75E27E" w14:textId="77777777" w:rsidR="00B36FD7" w:rsidRDefault="005A51CB">
      <w:pPr>
        <w:pStyle w:val="Standard"/>
        <w:numPr>
          <w:ilvl w:val="0"/>
          <w:numId w:val="5"/>
        </w:numPr>
        <w:tabs>
          <w:tab w:val="left" w:pos="-795"/>
          <w:tab w:val="left" w:pos="-511"/>
          <w:tab w:val="left" w:pos="0"/>
        </w:tabs>
        <w:spacing w:line="360" w:lineRule="auto"/>
        <w:rPr>
          <w:rFonts w:eastAsia="Andale Sans UI" w:cs="Times New Roman"/>
        </w:rPr>
      </w:pPr>
      <w:r>
        <w:rPr>
          <w:rFonts w:eastAsia="Andale Sans UI" w:cs="Times New Roman"/>
        </w:rPr>
        <w:t>0 pkt – deklarowany przez Wykonawcę minimalny okres gwarancji na oferowany sprzęt – 36 miesięcy</w:t>
      </w:r>
    </w:p>
    <w:p w14:paraId="177EEBDF" w14:textId="77777777" w:rsidR="00B36FD7" w:rsidRDefault="005A51CB">
      <w:pPr>
        <w:pStyle w:val="Standard"/>
        <w:numPr>
          <w:ilvl w:val="0"/>
          <w:numId w:val="3"/>
        </w:numPr>
        <w:tabs>
          <w:tab w:val="left" w:pos="-795"/>
          <w:tab w:val="left" w:pos="-511"/>
          <w:tab w:val="left" w:pos="0"/>
        </w:tabs>
        <w:spacing w:line="360" w:lineRule="auto"/>
        <w:rPr>
          <w:rFonts w:eastAsia="Andale Sans UI" w:cs="Times New Roman"/>
        </w:rPr>
      </w:pPr>
      <w:r>
        <w:rPr>
          <w:rFonts w:eastAsia="Andale Sans UI" w:cs="Times New Roman"/>
        </w:rPr>
        <w:t>20 pkt – deklarowany przez Wykonawcę okres gwarancji – 48 miesięcy</w:t>
      </w:r>
    </w:p>
    <w:p w14:paraId="7B2B81AE" w14:textId="4D1E4723" w:rsidR="00B36FD7" w:rsidRDefault="005776DB">
      <w:pPr>
        <w:pStyle w:val="Standard"/>
        <w:numPr>
          <w:ilvl w:val="0"/>
          <w:numId w:val="3"/>
        </w:numPr>
        <w:tabs>
          <w:tab w:val="left" w:pos="-795"/>
          <w:tab w:val="left" w:pos="-511"/>
          <w:tab w:val="left" w:pos="0"/>
        </w:tabs>
        <w:spacing w:line="360" w:lineRule="auto"/>
        <w:jc w:val="both"/>
        <w:rPr>
          <w:rFonts w:eastAsia="Andale Sans UI" w:cs="Times New Roman"/>
          <w:color w:val="000000"/>
        </w:rPr>
      </w:pPr>
      <w:r>
        <w:rPr>
          <w:rFonts w:eastAsia="Andale Sans UI" w:cs="Times New Roman"/>
          <w:color w:val="000000"/>
        </w:rPr>
        <w:t>36</w:t>
      </w:r>
      <w:r w:rsidR="005A51CB">
        <w:rPr>
          <w:rFonts w:eastAsia="Andale Sans UI" w:cs="Times New Roman"/>
          <w:color w:val="000000"/>
        </w:rPr>
        <w:t xml:space="preserve"> pkt – deklarowany przez Wykonawcę okres gwarancji – 60 miesięcy i powyżej</w:t>
      </w:r>
    </w:p>
    <w:p w14:paraId="5749870B" w14:textId="77777777" w:rsidR="00B36FD7" w:rsidRDefault="005A51CB">
      <w:pPr>
        <w:pStyle w:val="Standard"/>
        <w:tabs>
          <w:tab w:val="left" w:pos="0"/>
          <w:tab w:val="left" w:pos="284"/>
        </w:tabs>
        <w:spacing w:line="360" w:lineRule="auto"/>
        <w:jc w:val="both"/>
        <w:rPr>
          <w:rFonts w:eastAsia="Andale Sans UI" w:cs="Times New Roman"/>
          <w:color w:val="000000"/>
        </w:rPr>
      </w:pPr>
      <w:r>
        <w:rPr>
          <w:rFonts w:eastAsia="Andale Sans UI" w:cs="Times New Roman"/>
          <w:color w:val="000000"/>
        </w:rPr>
        <w:t>Zamawiający wymaga, aby okres gwarancji na oferowany sprzęt wynosił minimum 36 miesiące.</w:t>
      </w:r>
      <w:r>
        <w:rPr>
          <w:rFonts w:eastAsia="Andale Sans UI" w:cs="Times New Roman"/>
          <w:color w:val="000000"/>
        </w:rPr>
        <w:br/>
        <w:t xml:space="preserve">W przypadku gdy Wykonawca w formularzu kalkulacji cenowej zadeklaruje inne wartości niż </w:t>
      </w:r>
      <w:r>
        <w:rPr>
          <w:rFonts w:eastAsia="Andale Sans UI" w:cs="Times New Roman"/>
          <w:color w:val="000000"/>
        </w:rPr>
        <w:lastRenderedPageBreak/>
        <w:t>wskazane powyżej dla okresu gwarancji, Zamawiający przyjmie wartość poprzez zaokrąglenie „w dół” i przyzna punkty odpowiednio. W przypadku gdy deklarowany przez Wykonawcę okres gwarancji będzie krótszy niż 36 miesiące, Zamawiający odrzuci ofertę jako niezgodną z SWZ, w przypadku braku informacji dotyczącej długości okresu gwarancji, Zamawiający przyjmie, że Wykonawca udziela minimalnego wymaganego okresu gwarancji, tj. 36 miesiące i przyzna 0 punktów.</w:t>
      </w:r>
    </w:p>
    <w:p w14:paraId="3ACEA223" w14:textId="77777777" w:rsidR="00B36FD7" w:rsidRDefault="00B36FD7">
      <w:pPr>
        <w:pStyle w:val="Standard"/>
        <w:tabs>
          <w:tab w:val="left" w:pos="0"/>
          <w:tab w:val="left" w:pos="284"/>
        </w:tabs>
        <w:jc w:val="both"/>
        <w:rPr>
          <w:rFonts w:cs="Times New Roman"/>
        </w:rPr>
      </w:pPr>
    </w:p>
    <w:p w14:paraId="242EFD32" w14:textId="34C5C23E" w:rsidR="00B36FD7" w:rsidRDefault="005A51CB">
      <w:pPr>
        <w:pStyle w:val="Standard"/>
        <w:tabs>
          <w:tab w:val="left" w:pos="691"/>
        </w:tabs>
        <w:spacing w:line="360" w:lineRule="auto"/>
        <w:ind w:firstLine="19"/>
        <w:jc w:val="both"/>
      </w:pPr>
      <w:r>
        <w:rPr>
          <w:rFonts w:cs="Times New Roman"/>
          <w:b/>
          <w:color w:val="000000"/>
        </w:rPr>
        <w:t xml:space="preserve">Sposób obliczenia punktów w odniesieniu do kryterium K3 – wielkość pamięci RAM </w:t>
      </w:r>
      <w:r w:rsidR="00144B1B">
        <w:rPr>
          <w:b/>
          <w:color w:val="000000"/>
        </w:rPr>
        <w:t>komputera biurkowego</w:t>
      </w:r>
    </w:p>
    <w:p w14:paraId="39B430E5" w14:textId="77777777" w:rsidR="00B36FD7" w:rsidRDefault="00B36FD7">
      <w:pPr>
        <w:pStyle w:val="Standard"/>
        <w:tabs>
          <w:tab w:val="left" w:pos="1046"/>
        </w:tabs>
        <w:ind w:left="355" w:hanging="336"/>
        <w:jc w:val="both"/>
        <w:rPr>
          <w:rFonts w:cs="Times New Roman"/>
          <w:b/>
          <w:color w:val="000000"/>
          <w:sz w:val="22"/>
        </w:rPr>
      </w:pPr>
    </w:p>
    <w:p w14:paraId="50C490D7" w14:textId="2EEA3645" w:rsidR="00B36FD7" w:rsidRDefault="005A51CB">
      <w:pPr>
        <w:pStyle w:val="Standard"/>
        <w:tabs>
          <w:tab w:val="left" w:pos="1046"/>
        </w:tabs>
        <w:ind w:left="355" w:hanging="33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K3 – waga </w:t>
      </w:r>
      <w:r w:rsidR="00127B16">
        <w:rPr>
          <w:rFonts w:cs="Times New Roman"/>
          <w:color w:val="000000"/>
        </w:rPr>
        <w:t>4</w:t>
      </w:r>
      <w:r>
        <w:rPr>
          <w:rFonts w:cs="Times New Roman"/>
          <w:color w:val="000000"/>
        </w:rPr>
        <w:t xml:space="preserve"> % (maksymalnie Wykonawca może otrzymać </w:t>
      </w:r>
      <w:r w:rsidR="00127B16">
        <w:rPr>
          <w:rFonts w:cs="Times New Roman"/>
          <w:color w:val="000000"/>
        </w:rPr>
        <w:t>4</w:t>
      </w:r>
      <w:r>
        <w:rPr>
          <w:rFonts w:cs="Times New Roman"/>
          <w:color w:val="000000"/>
        </w:rPr>
        <w:t xml:space="preserve"> punktów)</w:t>
      </w:r>
    </w:p>
    <w:p w14:paraId="1FF5652B" w14:textId="77777777" w:rsidR="00B36FD7" w:rsidRDefault="00B36FD7">
      <w:pPr>
        <w:pStyle w:val="Standard"/>
        <w:tabs>
          <w:tab w:val="left" w:pos="1046"/>
        </w:tabs>
        <w:ind w:left="355" w:hanging="336"/>
        <w:jc w:val="both"/>
        <w:rPr>
          <w:rFonts w:cs="Times New Roman"/>
          <w:color w:val="000000"/>
          <w:sz w:val="22"/>
          <w:szCs w:val="22"/>
        </w:rPr>
      </w:pPr>
    </w:p>
    <w:p w14:paraId="2436ED07" w14:textId="42F3E839" w:rsidR="00B36FD7" w:rsidRDefault="005A51CB">
      <w:pPr>
        <w:pStyle w:val="Standard"/>
        <w:tabs>
          <w:tab w:val="left" w:pos="0"/>
          <w:tab w:val="left" w:pos="284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K3=4×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oferty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max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pkt</m:t>
          </m:r>
        </m:oMath>
      </m:oMathPara>
    </w:p>
    <w:p w14:paraId="6A2FE72E" w14:textId="77777777" w:rsidR="00B36FD7" w:rsidRDefault="005A51CB">
      <w:pPr>
        <w:pStyle w:val="Standard"/>
        <w:tabs>
          <w:tab w:val="left" w:pos="710"/>
          <w:tab w:val="left" w:pos="994"/>
        </w:tabs>
        <w:ind w:left="355" w:hanging="336"/>
        <w:jc w:val="both"/>
        <w:rPr>
          <w:rFonts w:eastAsia="Andale Sans UI" w:cs="Times New Roman"/>
          <w:color w:val="000000"/>
        </w:rPr>
      </w:pPr>
      <w:r>
        <w:rPr>
          <w:rFonts w:eastAsia="Andale Sans UI" w:cs="Times New Roman"/>
          <w:color w:val="000000"/>
        </w:rPr>
        <w:t>gdzie:</w:t>
      </w:r>
    </w:p>
    <w:p w14:paraId="4AC4AE0C" w14:textId="77777777" w:rsidR="00B36FD7" w:rsidRDefault="005A51CB">
      <w:pPr>
        <w:pStyle w:val="Standard"/>
        <w:tabs>
          <w:tab w:val="left" w:pos="710"/>
          <w:tab w:val="left" w:pos="994"/>
        </w:tabs>
        <w:ind w:left="355" w:hanging="336"/>
      </w:pPr>
      <w:r>
        <w:rPr>
          <w:rFonts w:eastAsia="Andale Sans UI" w:cs="Times New Roman"/>
          <w:i/>
          <w:iCs/>
          <w:color w:val="000000"/>
          <w:sz w:val="22"/>
          <w:szCs w:val="22"/>
        </w:rPr>
        <w:tab/>
      </w:r>
      <w:r>
        <w:rPr>
          <w:rFonts w:eastAsia="Andale Sans UI" w:cs="Times New Roman"/>
          <w:i/>
          <w:iCs/>
          <w:color w:val="000000"/>
          <w:sz w:val="22"/>
          <w:szCs w:val="22"/>
        </w:rPr>
        <w:tab/>
      </w:r>
      <w:r>
        <w:rPr>
          <w:rFonts w:eastAsia="Andale Sans UI" w:cs="Times New Roman"/>
          <w:i/>
          <w:iCs/>
          <w:color w:val="000000"/>
          <w:sz w:val="22"/>
          <w:szCs w:val="22"/>
        </w:rPr>
        <w:tab/>
        <w:t xml:space="preserve">BC max – </w:t>
      </w:r>
      <w:r>
        <w:rPr>
          <w:rFonts w:eastAsia="Andale Sans UI" w:cs="Times New Roman"/>
          <w:color w:val="000000"/>
          <w:sz w:val="22"/>
          <w:szCs w:val="22"/>
        </w:rPr>
        <w:t>oznacza najwyższą wielkość pamięci RAM spoś</w:t>
      </w:r>
      <w:r>
        <w:rPr>
          <w:rFonts w:eastAsia="Andale Sans UI" w:cs="Times New Roman"/>
          <w:sz w:val="22"/>
          <w:szCs w:val="22"/>
        </w:rPr>
        <w:t>ród badanych ofert,</w:t>
      </w:r>
    </w:p>
    <w:p w14:paraId="7655D022" w14:textId="77777777" w:rsidR="00B36FD7" w:rsidRDefault="005A51CB">
      <w:pPr>
        <w:pStyle w:val="Standard"/>
        <w:tabs>
          <w:tab w:val="left" w:pos="710"/>
          <w:tab w:val="left" w:pos="994"/>
        </w:tabs>
        <w:ind w:left="355" w:hanging="336"/>
      </w:pPr>
      <w:r>
        <w:rPr>
          <w:rFonts w:eastAsia="Andale Sans UI" w:cs="Times New Roman"/>
          <w:i/>
          <w:iCs/>
          <w:color w:val="000000"/>
          <w:sz w:val="22"/>
          <w:szCs w:val="22"/>
        </w:rPr>
        <w:tab/>
      </w:r>
      <w:r>
        <w:rPr>
          <w:rFonts w:eastAsia="Andale Sans UI" w:cs="Times New Roman"/>
          <w:i/>
          <w:iCs/>
          <w:color w:val="000000"/>
          <w:sz w:val="22"/>
          <w:szCs w:val="22"/>
        </w:rPr>
        <w:tab/>
      </w:r>
      <w:r>
        <w:rPr>
          <w:rFonts w:eastAsia="Andale Sans UI" w:cs="Times New Roman"/>
          <w:i/>
          <w:iCs/>
          <w:color w:val="000000"/>
          <w:sz w:val="22"/>
          <w:szCs w:val="22"/>
        </w:rPr>
        <w:tab/>
        <w:t>BC oferty</w:t>
      </w:r>
      <w:r>
        <w:rPr>
          <w:rFonts w:eastAsia="Andale Sans UI" w:cs="Times New Roman"/>
          <w:color w:val="000000"/>
          <w:sz w:val="22"/>
          <w:szCs w:val="22"/>
        </w:rPr>
        <w:t xml:space="preserve"> – oznacza wielkość pamięci RAM badanej oferty</w:t>
      </w:r>
    </w:p>
    <w:p w14:paraId="551E9705" w14:textId="77777777" w:rsidR="00B36FD7" w:rsidRDefault="00B36FD7">
      <w:pPr>
        <w:pStyle w:val="Standard"/>
        <w:tabs>
          <w:tab w:val="left" w:pos="0"/>
          <w:tab w:val="left" w:pos="284"/>
        </w:tabs>
        <w:rPr>
          <w:rFonts w:eastAsia="Andale Sans UI" w:cs="Times New Roman"/>
          <w:color w:val="000000"/>
          <w:sz w:val="22"/>
          <w:szCs w:val="22"/>
        </w:rPr>
      </w:pPr>
    </w:p>
    <w:p w14:paraId="11947F99" w14:textId="77777777" w:rsidR="00B36FD7" w:rsidRDefault="00B36FD7">
      <w:pPr>
        <w:pStyle w:val="Standard"/>
        <w:spacing w:line="360" w:lineRule="auto"/>
        <w:ind w:firstLine="17"/>
        <w:jc w:val="both"/>
        <w:rPr>
          <w:rFonts w:eastAsia="Andale Sans UI" w:cs="Times New Roman"/>
          <w:color w:val="000000"/>
        </w:rPr>
      </w:pPr>
    </w:p>
    <w:p w14:paraId="08EFCFD3" w14:textId="77777777" w:rsidR="00B36FD7" w:rsidRDefault="005A51CB">
      <w:pPr>
        <w:pStyle w:val="Standard"/>
        <w:spacing w:line="360" w:lineRule="auto"/>
        <w:ind w:firstLine="17"/>
        <w:jc w:val="both"/>
      </w:pPr>
      <w:r>
        <w:rPr>
          <w:rFonts w:eastAsia="Andale Sans UI" w:cs="Times New Roman"/>
          <w:color w:val="000000"/>
        </w:rPr>
        <w:t xml:space="preserve">Zamawiający wymaga, aby pamięć RAM miała minimalnie 16 GB, a maksymalna jej wielkość wynosiła 32 GB. W przypadku gdy Wykonawca zaproponuje wielkość pamięci RAM mniejszą niż 16 GB, Zamawiający odrzuci ofertę jako niezgodną z SWZ. W przypadku gdy Wykonawca nie zawrze informacji o wielkości pamięci RAM </w:t>
      </w:r>
      <w:r>
        <w:rPr>
          <w:rFonts w:eastAsia="Andale Sans UI" w:cs="Times New Roman"/>
        </w:rPr>
        <w:t>w ofercie, Zamawiający przyjmie, że Wykonawca oferuje pamięć RAM o minimalnej wymaganej wielkości tj. 16 GB i przyzna punkty zgodnie z powyższym wzorem. W przypadku złożenia oferty z pamięcią RAM większą niż 32 GB, oferta otrzyma taką samą punktację jak dla 32 GB.</w:t>
      </w:r>
    </w:p>
    <w:p w14:paraId="730490D0" w14:textId="77777777" w:rsidR="00B36FD7" w:rsidRDefault="00B36FD7">
      <w:pPr>
        <w:pStyle w:val="Standard"/>
        <w:spacing w:line="360" w:lineRule="auto"/>
        <w:ind w:firstLine="17"/>
        <w:jc w:val="both"/>
        <w:rPr>
          <w:rFonts w:eastAsia="Andale Sans UI" w:cs="Times New Roman"/>
        </w:rPr>
      </w:pPr>
    </w:p>
    <w:p w14:paraId="2DD4B82A" w14:textId="77777777" w:rsidR="00B36FD7" w:rsidRDefault="005A51CB">
      <w:pPr>
        <w:pStyle w:val="Standard"/>
        <w:tabs>
          <w:tab w:val="left" w:pos="710"/>
          <w:tab w:val="left" w:pos="994"/>
        </w:tabs>
        <w:spacing w:line="360" w:lineRule="auto"/>
        <w:ind w:left="355" w:hanging="336"/>
        <w:rPr>
          <w:rFonts w:eastAsia="Andale Sans UI" w:cs="Times New Roman"/>
          <w:b/>
          <w:color w:val="000000"/>
        </w:rPr>
      </w:pPr>
      <w:bookmarkStart w:id="1" w:name="Bookmark"/>
      <w:bookmarkEnd w:id="1"/>
      <w:r>
        <w:rPr>
          <w:rFonts w:eastAsia="Andale Sans UI" w:cs="Times New Roman"/>
          <w:b/>
          <w:color w:val="000000"/>
        </w:rPr>
        <w:t>Zasady wyboru oferty i udzielenia zamówienia:</w:t>
      </w:r>
    </w:p>
    <w:p w14:paraId="54A9F408" w14:textId="77777777" w:rsidR="00B36FD7" w:rsidRDefault="005A51CB">
      <w:pPr>
        <w:pStyle w:val="Standard"/>
        <w:tabs>
          <w:tab w:val="left" w:pos="0"/>
          <w:tab w:val="left" w:pos="284"/>
        </w:tabs>
        <w:spacing w:line="360" w:lineRule="auto"/>
        <w:ind w:firstLine="19"/>
        <w:jc w:val="both"/>
      </w:pPr>
      <w:r>
        <w:rPr>
          <w:rFonts w:eastAsia="Andale Sans UI" w:cs="Times New Roman"/>
          <w:color w:val="000000"/>
        </w:rPr>
        <w:t>Zamawiający uzna za najkorzystniejszą ofertę Wykonawcy, który spełni warunki udziału</w:t>
      </w:r>
      <w:r>
        <w:rPr>
          <w:rFonts w:eastAsia="Andale Sans UI" w:cs="Times New Roman"/>
          <w:color w:val="000000"/>
        </w:rPr>
        <w:br/>
        <w:t xml:space="preserve">w postępowaniu, nie podlega wykluczeniu, a jego oferta nie będzie podlegać odrzuceniu oraz otrzyma największą liczbę punktów wyliczoną zgodnie ze </w:t>
      </w:r>
      <w:r>
        <w:rPr>
          <w:rFonts w:eastAsia="Andale Sans UI" w:cs="Times New Roman"/>
        </w:rPr>
        <w:t>wzorem.</w:t>
      </w:r>
    </w:p>
    <w:p w14:paraId="1703A968" w14:textId="77777777" w:rsidR="00B36FD7" w:rsidRDefault="00B36FD7">
      <w:pPr>
        <w:pStyle w:val="Standard"/>
        <w:tabs>
          <w:tab w:val="left" w:pos="0"/>
          <w:tab w:val="left" w:pos="284"/>
        </w:tabs>
        <w:spacing w:line="360" w:lineRule="auto"/>
        <w:ind w:firstLine="19"/>
        <w:rPr>
          <w:rFonts w:eastAsia="Andale Sans UI" w:cs="Times New Roman"/>
          <w:color w:val="000000"/>
        </w:rPr>
      </w:pPr>
    </w:p>
    <w:p w14:paraId="0286ADBD" w14:textId="77777777" w:rsidR="00B36FD7" w:rsidRDefault="005A51CB">
      <w:pPr>
        <w:pStyle w:val="Standard"/>
        <w:tabs>
          <w:tab w:val="left" w:pos="0"/>
          <w:tab w:val="left" w:pos="284"/>
        </w:tabs>
        <w:spacing w:line="360" w:lineRule="auto"/>
        <w:ind w:firstLine="19"/>
      </w:pPr>
      <w:r>
        <w:rPr>
          <w:rFonts w:eastAsia="Andale Sans UI" w:cs="Times New Roman"/>
          <w:color w:val="000000"/>
        </w:rPr>
        <w:t xml:space="preserve">K – łączna liczba punktów uzyskana w poszczególnych kryteriach. Maksymalna liczba punktów, którą może uzyskać Wykonawca wynosi </w:t>
      </w:r>
      <w:r>
        <w:rPr>
          <w:rFonts w:eastAsia="Andale Sans UI" w:cs="Times New Roman"/>
          <w:b/>
          <w:bCs/>
          <w:color w:val="000000"/>
        </w:rPr>
        <w:t>100 pkt.</w:t>
      </w:r>
    </w:p>
    <w:p w14:paraId="03C3CC8F" w14:textId="77777777" w:rsidR="00B36FD7" w:rsidRDefault="00B36FD7">
      <w:pPr>
        <w:pStyle w:val="Standard"/>
        <w:tabs>
          <w:tab w:val="left" w:pos="0"/>
          <w:tab w:val="left" w:pos="284"/>
        </w:tabs>
        <w:spacing w:line="360" w:lineRule="auto"/>
        <w:ind w:firstLine="19"/>
        <w:rPr>
          <w:rFonts w:eastAsia="Andale Sans UI" w:cs="Times New Roman"/>
          <w:color w:val="000000"/>
        </w:rPr>
      </w:pPr>
    </w:p>
    <w:p w14:paraId="098B3377" w14:textId="77777777" w:rsidR="00B36FD7" w:rsidRDefault="005A51CB">
      <w:pPr>
        <w:pStyle w:val="Standard"/>
        <w:tabs>
          <w:tab w:val="left" w:pos="0"/>
          <w:tab w:val="left" w:pos="284"/>
        </w:tabs>
        <w:spacing w:line="360" w:lineRule="auto"/>
        <w:ind w:firstLine="19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Sposób obliczenia łącznej liczby punktów (K) za wyżej wymienione kryteria:</w:t>
      </w:r>
    </w:p>
    <w:p w14:paraId="3C421877" w14:textId="77777777" w:rsidR="00B36FD7" w:rsidRDefault="00B36FD7">
      <w:pPr>
        <w:pStyle w:val="Standard"/>
        <w:tabs>
          <w:tab w:val="left" w:pos="0"/>
          <w:tab w:val="left" w:pos="284"/>
        </w:tabs>
        <w:spacing w:line="360" w:lineRule="auto"/>
        <w:ind w:firstLine="19"/>
        <w:rPr>
          <w:rFonts w:cs="Times New Roman"/>
          <w:b/>
          <w:color w:val="000000"/>
        </w:rPr>
      </w:pPr>
    </w:p>
    <w:p w14:paraId="4EB1594F" w14:textId="0689519D" w:rsidR="00B36FD7" w:rsidRDefault="005776DB">
      <w:pPr>
        <w:pStyle w:val="Standard"/>
        <w:tabs>
          <w:tab w:val="left" w:pos="0"/>
          <w:tab w:val="left" w:pos="284"/>
        </w:tabs>
        <w:spacing w:line="360" w:lineRule="auto"/>
        <w:ind w:firstLine="19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K = K1 + K2 + K3</w:t>
      </w:r>
    </w:p>
    <w:sectPr w:rsidR="00B36FD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CA1DC" w14:textId="77777777" w:rsidR="00130B2E" w:rsidRDefault="00130B2E">
      <w:r>
        <w:separator/>
      </w:r>
    </w:p>
  </w:endnote>
  <w:endnote w:type="continuationSeparator" w:id="0">
    <w:p w14:paraId="0468D2C1" w14:textId="77777777" w:rsidR="00130B2E" w:rsidRDefault="0013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,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4637B" w14:textId="77777777" w:rsidR="00130B2E" w:rsidRDefault="00130B2E">
      <w:r>
        <w:rPr>
          <w:color w:val="000000"/>
        </w:rPr>
        <w:separator/>
      </w:r>
    </w:p>
  </w:footnote>
  <w:footnote w:type="continuationSeparator" w:id="0">
    <w:p w14:paraId="37960CA9" w14:textId="77777777" w:rsidR="00130B2E" w:rsidRDefault="0013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E70"/>
    <w:multiLevelType w:val="multilevel"/>
    <w:tmpl w:val="983E020A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48675CC6"/>
    <w:multiLevelType w:val="multilevel"/>
    <w:tmpl w:val="B2EEFBDE"/>
    <w:styleLink w:val="WW8Num2"/>
    <w:lvl w:ilvl="0">
      <w:numFmt w:val="bullet"/>
      <w:lvlText w:val=""/>
      <w:lvlJc w:val="left"/>
      <w:pPr>
        <w:ind w:left="795" w:hanging="360"/>
      </w:pPr>
      <w:rPr>
        <w:rFonts w:ascii="Symbol" w:eastAsia="Andale Sans UI" w:hAnsi="Symbol" w:cs="Calibri"/>
        <w:b w:val="0"/>
        <w:i w:val="0"/>
        <w:color w:val="000000"/>
        <w:spacing w:val="-2"/>
        <w:position w:val="0"/>
        <w:sz w:val="24"/>
        <w:szCs w:val="24"/>
        <w:vertAlign w:val="baseline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285235A"/>
    <w:multiLevelType w:val="multilevel"/>
    <w:tmpl w:val="B88C42B4"/>
    <w:styleLink w:val="WWNum3"/>
    <w:lvl w:ilvl="0">
      <w:numFmt w:val="bullet"/>
      <w:lvlText w:val=""/>
      <w:lvlJc w:val="left"/>
      <w:pPr>
        <w:ind w:left="795" w:hanging="360"/>
      </w:pPr>
      <w:rPr>
        <w:rFonts w:ascii="Symbol" w:eastAsia="Andale Sans UI" w:hAnsi="Symbol" w:cs="Calibri"/>
        <w:b w:val="0"/>
        <w:i w:val="0"/>
        <w:color w:val="000000"/>
        <w:spacing w:val="-2"/>
        <w:position w:val="0"/>
        <w:sz w:val="24"/>
        <w:szCs w:val="24"/>
        <w:vertAlign w:val="baseline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7E845C67"/>
    <w:multiLevelType w:val="multilevel"/>
    <w:tmpl w:val="6144DB62"/>
    <w:styleLink w:val="WWNum2"/>
    <w:lvl w:ilvl="0">
      <w:numFmt w:val="bullet"/>
      <w:lvlText w:val=""/>
      <w:lvlJc w:val="left"/>
      <w:pPr>
        <w:ind w:left="795" w:hanging="360"/>
      </w:pPr>
      <w:rPr>
        <w:rFonts w:ascii="Symbol" w:eastAsia="Andale Sans UI" w:hAnsi="Symbol" w:cs="Calibri"/>
        <w:b w:val="0"/>
        <w:i w:val="0"/>
        <w:color w:val="000000"/>
        <w:spacing w:val="-2"/>
        <w:position w:val="0"/>
        <w:sz w:val="24"/>
        <w:szCs w:val="24"/>
        <w:vertAlign w:val="baseline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D7"/>
    <w:rsid w:val="000220DA"/>
    <w:rsid w:val="00035F9A"/>
    <w:rsid w:val="00127B16"/>
    <w:rsid w:val="00130B2E"/>
    <w:rsid w:val="00144B1B"/>
    <w:rsid w:val="001F4DF6"/>
    <w:rsid w:val="004A7279"/>
    <w:rsid w:val="005776DB"/>
    <w:rsid w:val="005A51CB"/>
    <w:rsid w:val="007B1E2F"/>
    <w:rsid w:val="0083724D"/>
    <w:rsid w:val="008C1FCA"/>
    <w:rsid w:val="009C389A"/>
    <w:rsid w:val="00A60DCB"/>
    <w:rsid w:val="00B36FD7"/>
    <w:rsid w:val="00DF7442"/>
    <w:rsid w:val="00D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00EC"/>
  <w15:docId w15:val="{48AB1826-8676-4000-8AAB-47D63F89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tabs>
        <w:tab w:val="left" w:pos="0"/>
      </w:tabs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eastAsia="SimSun, 宋体" w:cs="Mangal,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Headinguser">
    <w:name w:val="Heading (user)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119"/>
    </w:pPr>
  </w:style>
  <w:style w:type="paragraph" w:customStyle="1" w:styleId="BodyText21">
    <w:name w:val="Body Text 21"/>
    <w:basedOn w:val="Standard"/>
    <w:pPr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Standard"/>
    <w:rPr>
      <w:rFonts w:ascii="Tahoma" w:hAnsi="Tahoma" w:cs="Mangal"/>
      <w:sz w:val="16"/>
      <w:szCs w:val="1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Andale Sans UI" w:hAnsi="Times New Roman" w:cs="Calibri"/>
      <w:b w:val="0"/>
      <w:i w:val="0"/>
      <w:color w:val="000000"/>
      <w:spacing w:val="-2"/>
      <w:position w:val="0"/>
      <w:sz w:val="24"/>
      <w:szCs w:val="24"/>
      <w:vertAlign w:val="baseline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ndale Sans UI" w:hAnsi="Symbol" w:cs="Symbol"/>
      <w:color w:val="000000"/>
      <w:position w:val="0"/>
      <w:sz w:val="22"/>
      <w:szCs w:val="22"/>
      <w:vertAlign w:val="baseline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0">
    <w:name w:val="WW8Num15z0"/>
    <w:rPr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4z0">
    <w:name w:val="WW8Num24z0"/>
    <w:rPr>
      <w:rFonts w:cs="Calibri"/>
      <w:b w:val="0"/>
      <w:i w:val="0"/>
      <w:spacing w:val="-2"/>
      <w:sz w:val="24"/>
      <w:szCs w:val="24"/>
      <w:lang w:val="pl-P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NumberingSymbolsuser">
    <w:name w:val="Numbering Symbols (user)"/>
  </w:style>
  <w:style w:type="character" w:customStyle="1" w:styleId="Bullets">
    <w:name w:val="Bullets"/>
    <w:rPr>
      <w:rFonts w:ascii="OpenSymbol," w:eastAsia="OpenSymbol," w:hAnsi="OpenSymbol," w:cs="OpenSymbol,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/>
      <w:i w:val="0"/>
      <w:color w:val="000000"/>
      <w:spacing w:val="2"/>
      <w:sz w:val="22"/>
      <w:szCs w:val="22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ListLabel1">
    <w:name w:val="ListLabel 1"/>
    <w:rPr>
      <w:rFonts w:eastAsia="Andale Sans UI" w:cs="Calibri"/>
      <w:b w:val="0"/>
      <w:i w:val="0"/>
      <w:color w:val="000000"/>
      <w:spacing w:val="-2"/>
      <w:position w:val="0"/>
      <w:sz w:val="24"/>
      <w:szCs w:val="24"/>
      <w:vertAlign w:val="baseline"/>
      <w:lang w:val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</dc:creator>
  <cp:lastModifiedBy>Łukasz Olszewski</cp:lastModifiedBy>
  <cp:revision>10</cp:revision>
  <cp:lastPrinted>2023-01-05T12:15:00Z</cp:lastPrinted>
  <dcterms:created xsi:type="dcterms:W3CDTF">2025-09-24T09:50:00Z</dcterms:created>
  <dcterms:modified xsi:type="dcterms:W3CDTF">2025-11-17T12:07:00Z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